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Rose, Raymond, Manuel,</w:t>
      </w:r>
      <w:r xml:space="preserve">
        <w:tab wTab="150" tlc="none" cTlc="0"/>
      </w:r>
      <w:r>
        <w:t xml:space="preserve">H.B.</w:t>
      </w:r>
      <w:r xml:space="preserve">
        <w:t> </w:t>
      </w:r>
      <w:r>
        <w:t xml:space="preserve">No.</w:t>
      </w:r>
      <w:r xml:space="preserve">
        <w:t> </w:t>
      </w:r>
      <w:r>
        <w:t xml:space="preserve">2983</w:t>
      </w:r>
    </w:p>
    <w:p w:rsidR="003F3435" w:rsidRDefault="0032493E">
      <w:pPr>
        <w:jc w:val="both"/>
      </w:pPr>
      <w:r xml:space="preserve">
        <w:t> </w:t>
      </w:r>
      <w:r xml:space="preserve">
        <w:t> </w:t>
      </w:r>
      <w:r xml:space="preserve">
        <w:t> </w:t>
      </w:r>
      <w:r xml:space="preserve">
        <w:t> </w:t>
      </w:r>
      <w:r xml:space="preserve">
        <w:t> </w:t>
      </w:r>
      <w:r>
        <w:t xml:space="preserve">Thierry,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medical nutrition assistance to certain Medicaid recipients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32.077.</w:t>
      </w:r>
      <w:r>
        <w:rPr>
          <w:u w:val="single"/>
        </w:rPr>
        <w:t xml:space="preserve"> </w:t>
      </w:r>
      <w:r>
        <w:rPr>
          <w:u w:val="single"/>
        </w:rPr>
        <w:t xml:space="preserve"> </w:t>
      </w:r>
      <w:r>
        <w:rPr>
          <w:u w:val="single"/>
        </w:rPr>
        <w:t xml:space="preserve">HEALTHY FOOD IS GOOD MEDICINE PILOT PROJECT FOR PREGNANT AND POSTPARTUM MEDICAID RECIPIENTS.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"Community-based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exempt from the payment of federal income taxes under Section 501(a), Internal Revenue Code of 1986, by being listed as an exempt entity under Section 501(c)(3) of that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medical nutrition assistance;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established agreement with a medical provider to implement medical nutrition assistance under this section;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registered dietitian nutritionist;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culinary personnel;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support personnel capable of providing patient referrals to a medical provider, sourcing ingredients, and packaging and delivering meals to medical nutrition assistance recipients.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"Healthy food prescription program" means a program under which a medical provider prescribes healthy food to a high-risk patient to decrease the incidence of one or more diet-related chronic illnesses by increasing the patient's access to healthy food, including fresh fruits and vegetables, through the use of vouchers or by other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nutrition assistance"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medically tailored meals to individuals who have a chronic disease, including diabetes, congestive heart failure, chronic pulmonary disease, kidney disease, or other chronic disease, that is impacted by the individual's diet and limits at least one activity of the individual's daily living to support treatment and management of the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provision of healthy food prescription programs to individuals who experience food insecurity and have at least one chronic health condition directly impacted by the nutritional quality of food to support treatment and management of the condition.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qualified health center as defined by 42 U.S.C. Section 1396d(l)(2)(B);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participating provider, as defined by Section 32.101.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"Medically tailored meal" means food prepared as prescribed by a registered dietitian nutritionist or other qualified health care professional to address an individual's chronic disease or health condition and any associated symptoms.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"Pilot project" means the pilot project required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seek a waiver under Section 1115 of the federal Social Security Act (42 U.S.C. 1315) to the state Medicaid plan to develop and implement a five-year pilot project to demonstrate the cost effectiveness and improved health care outcomes of Medicaid recipients in this state during pregnancy and the postpartum period who are provided medical nutrition assistance through medical providers and community-based organizations in not more than six Medicaid service delivery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project must be established in service delivery areas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670,000;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greater than 65,000;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on an international border;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which at least one World Birding Center site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collaborate and contract with managed care organizations, the state Medicaid managed care advisory committee, community-based organizations, and medical providers in administering the pilot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the pilot project, the executive commissioner by rule shall establish eligibility criteria for Medicaid recipients to participate in the pilot project. </w:t>
      </w:r>
      <w:r>
        <w:rPr>
          <w:u w:val="single"/>
        </w:rPr>
        <w:t xml:space="preserve"> </w:t>
      </w:r>
      <w:r>
        <w:rPr>
          <w:u w:val="single"/>
        </w:rPr>
        <w:t xml:space="preserve">The criteria must require that a recipient be pregnant or recently, as determined by commission rule, postpartum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 diet-related or pregnancy-related health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likely to experience improved maternal and infant health outcomes as a result of increased access to healthy foods.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to the extent allowed by a waiver obtained under Subsection (b), establish a payment methodology, including payment rates,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provider who through medical personnel, including registered dietit</w:t>
      </w:r>
      <w:r>
        <w:rPr>
          <w:u w:val="single"/>
        </w:rPr>
        <w:t xml:space="preserve">ian nutritionists, social workers, and community health workers, provides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assessments and screening of recipients to determine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development of individual care plans and health outcome tracking for pilot project participants;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care management services, including nutrition and health education and assisting participants in adhering to individual case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organizations that provide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referral of recipients to a medical provider for assessment and screening for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ingredient sourcing and meal preparation for pilot project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meal delivery to pilot project participants;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community outreach, including education on disease management, nutrition and health, and access to community nutrition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reports to the legislature on the results of a pilot project implemented under this section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report to be submitted not later than the first anniversary of the date the pilot project is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report to be submitted not later than 30 months following the date the pilot project is implemented;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final report to be submitted not later than three months after the pilot project concludes.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report submitted to the legislature under Subsection (g)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de-identified and aggregated data on any relevant medical outcomes for the participants and the infants born to participants during the time the participants participated in the pilot project,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participants'</w:t>
      </w:r>
      <w:r>
        <w:rPr>
          <w:u w:val="single"/>
        </w:rPr>
        <w:t xml:space="preserve"> </w:t>
      </w:r>
      <w:r>
        <w:rPr>
          <w:u w:val="single"/>
        </w:rPr>
        <w:t xml:space="preserve">hemoglobin A1c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incidence of pregnancy-related conditions, including gestational diabetes and preeclampsia;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changes in participants'</w:t>
      </w:r>
      <w:r>
        <w:rPr>
          <w:u w:val="single"/>
        </w:rPr>
        <w:t xml:space="preserve"> </w:t>
      </w:r>
      <w:r>
        <w:rPr>
          <w:u w:val="single"/>
        </w:rPr>
        <w:t xml:space="preserve">body mass index;</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changes in participants'</w:t>
      </w:r>
      <w:r>
        <w:rPr>
          <w:u w:val="single"/>
        </w:rPr>
        <w:t xml:space="preserve"> </w:t>
      </w:r>
      <w:r>
        <w:rPr>
          <w:u w:val="single"/>
        </w:rPr>
        <w:t xml:space="preserve">blood pressure;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birth weight of the infants;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participant or infant hospital admissions and emergency room visits;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cost savings or increased expenditures incurred as a result of the pilot project;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commission recommendation on whether to terminate, continue, or expand the pilot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a waiver under Section 1115 of the federal Social Security Act (42 U.S.C. Section 1315) to the state Medicaid plan from the federal Centers for Medicare and Medicaid Services or any other federal agency to implement Section 32.077, Human Resources Code, as added by this Act. </w:t>
      </w:r>
      <w:r>
        <w:t xml:space="preserve"> </w:t>
      </w:r>
      <w:r>
        <w:t xml:space="preserve">The commission may delay implementing Section 32.077, Human Resources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