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88R10090 CJC-D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Hunter, Slawson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2993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of certain property located in a reinvestment zone for certain ad valorem tax incentives.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320, Tax Code, is amended by adding Section 320.002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320.002.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PROPERTY INELIGIBLE FOR TAX INCENTIVES.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"Military aviation facility" has the meaning assigned by Section 312.0021.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"Qualifying property" means a parcel of land that is located wholly or partly in a reinvestment zone, a new building constructed on the parcel of land, a new improvement erected or affixed on the parcel of land, or tangible personal property placed in service in the building or improvement or on the parcel of land.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"Wind-powered energy device" has the meaning assigned by Section 11.27.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an owner of qualifying property may not receive an exemption from ad valorem taxation or a limitation on appraised value for the qualifying property under an agreement entered into under a law enacted as part of a program to encourage economic development in an area designated as a reinvestment zone if, on or after the date the agreement is entered into, a wind-powered energy device is installed or constructed on the qualifying property at a location that is within 25 nautical miles of the boundaries of a military aviation facility located in this state. </w:t>
      </w:r>
      <w:r>
        <w:rPr>
          <w:u w:val="single"/>
        </w:rPr>
        <w:t xml:space="preserve"> </w:t>
      </w:r>
      <w:r>
        <w:rPr>
          <w:u w:val="single"/>
        </w:rPr>
        <w:t xml:space="preserve">The prohibition provided by this subsection applies regardless of whether the wind-powered energy device is installed or constructed at a location that is in the reinvestment zone.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only to ad valorem taxes imposed for a tax year beginning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To the extent of any conflict, this Act prevails over another Act of the 88th Legislature, Regular Session, 2023, regardless of the relative dates of enactment.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