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88R9089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2997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damaging certain critical infrastructure facilities and providing for the prosecution of that conduct as manslaughter in certain circumstances;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defendant committed an offense under Section 28.09 and that conduct caused the death of an individual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Penal Code, is amended by adding Section 28.09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28.09.</w:t>
      </w:r>
      <w:r>
        <w:rPr>
          <w:u w:val="single"/>
        </w:rPr>
        <w:t xml:space="preserve"> </w:t>
      </w:r>
      <w:r>
        <w:rPr>
          <w:u w:val="single"/>
        </w:rPr>
        <w:t xml:space="preserve"> </w:t>
      </w:r>
      <w:r>
        <w:rPr>
          <w:u w:val="single"/>
        </w:rPr>
        <w:t xml:space="preserve">DAMAGING CRITICAL INFRASTRUCTURE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"Explosive weapon" has the meaning assigned by Section 28.03.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"Extended power outage" means a power outage lasting for more than 24 hours.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without the effective consent of the owner or operator of a critical infrastructure facility,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damages, destroys, vandalizes, or impairs the function of any critical infrastructure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the conduct described by Subdivision (1), causes an extended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second degree, except that the offense is a felony of the first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pecuniary damage to the critical infrastructure facility is $100,000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uses a firearm or explosive weapon in the commission of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