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88R3985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2998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County Court at Law of Aransas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25.0062(a)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of Aransas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felony cases to conduct arraignments, conduct pretrial hearings, and accept guilty pleas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civil cases in which the matter in controversy exceeds the maximum amount provided by Section 25.0003</w:t>
      </w:r>
      <w:r>
        <w:t xml:space="preserve">.</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w:t>
      </w:r>
      <w:r>
        <w:rPr>
          <w:u w:val="single"/>
        </w:rPr>
        <w:t xml:space="preserve">, in</w:t>
      </w:r>
      <w:r>
        <w:t xml:space="preserve"> [</w:t>
      </w:r>
      <w:r>
        <w:rPr>
          <w:strike/>
        </w:rPr>
        <w:t xml:space="preserve">and</w:t>
      </w:r>
      <w:r>
        <w:t xml:space="preserve">] family law cases and proceedings, </w:t>
      </w:r>
      <w:r>
        <w:rPr>
          <w:u w:val="single"/>
        </w:rPr>
        <w:t xml:space="preserve">and in civil cases in which the matter in controversy exceeds $250,000.  The</w:t>
      </w:r>
      <w:r>
        <w:t xml:space="preserve"> [</w:t>
      </w:r>
      <w:r>
        <w:rPr>
          <w:strike/>
        </w:rPr>
        <w:t xml:space="preserve">and the</w:t>
      </w:r>
      <w:r>
        <w:t xml:space="preserve">] county clerk serves as clerk of a county court at law in all other cases.  The district clerk shall establish a separate docket for a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case filed or proceeding commenced on or after the effective date of this Act.  A case filed or proceeding commenced before the effective date of this Act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