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Alvarado)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3005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confidentiality of identifying information of victims of certain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D, Chapter 58, Code of Criminal Procedure,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D.  CONFIDENTIALITY OF IDENTIFYING INFORMATION OF VICTIMS OF STALKING</w:t>
      </w:r>
      <w:r>
        <w:rPr>
          <w:u w:val="single"/>
        </w:rPr>
        <w:t xml:space="preserve">, INVASIVE VISUAL RECORDING, OR INDECENT ASSAULT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58.151,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58.151.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subchapter, "victim" means a person who is the subject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offense that allegedly constitutes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stalking under Section 42.072, Penal Code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invasive visual recording under Section 21.15, Penal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indecent assault under Section 22.012, Penal Code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offense that is part of the same criminal episode, as defined by Section 3.01, Penal Code, as an offense </w:t>
      </w:r>
      <w:r>
        <w:rPr>
          <w:u w:val="single"/>
        </w:rPr>
        <w:t xml:space="preserve">described by Subdivision (1)</w:t>
      </w:r>
      <w:r>
        <w:t xml:space="preserve"> [</w:t>
      </w:r>
      <w:r>
        <w:rPr>
          <w:strike/>
        </w:rPr>
        <w:t xml:space="preserve">under Section 42.072, Penal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