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Hancock)</w:t>
      </w:r>
      <w:r xml:space="preserve">
        <w:tab wTab="150" tlc="none" cTlc="0"/>
      </w:r>
      <w:r>
        <w:t xml:space="preserve">H.B.</w:t>
      </w:r>
      <w:r xml:space="preserve">
        <w:t> </w:t>
      </w:r>
      <w:r>
        <w:t xml:space="preserve">No.</w:t>
      </w:r>
      <w:r xml:space="preserve">
        <w:t> </w:t>
      </w:r>
      <w:r>
        <w:t xml:space="preserve">3007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Water, Agriculture &amp; Rural Affairs; May</w:t>
      </w:r>
      <w:r xml:space="preserve">
        <w:t> </w:t>
      </w:r>
      <w:r>
        <w:t xml:space="preserve">9,</w:t>
      </w:r>
      <w:r xml:space="preserve">
        <w:t> </w:t>
      </w:r>
      <w:r>
        <w:t xml:space="preserve">2023, reported favorably by the following vote:</w:t>
      </w:r>
      <w:r>
        <w:t xml:space="preserve"> </w:t>
      </w:r>
      <w:r>
        <w:t xml:space="preserve"> </w:t>
      </w:r>
      <w:r>
        <w:t xml:space="preserve">Yeas 8, Nays 0; May</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Benbrook Water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 Chapter 123, Acts of the 54th Legislature, Regular Session, 1955, is amended to read as follows:</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After any bonds are authorized by the Authority, such bonds and the record relating to their issuance shall be submitted to the Attorney General for his examination as to the validity thereof. </w:t>
      </w:r>
      <w:r>
        <w:t xml:space="preserve"> </w:t>
      </w:r>
      <w:r>
        <w:t xml:space="preserve">Where such bonds recite that they are secured by a pledge of the proceeds of a contract theretofore made between the Authority and any city or other governmental agency or district, a copy of such contract and the proceedings of the city or other governmental agency or district authorizing such contract shall also be submitted to the Attorney General. </w:t>
      </w:r>
      <w:r>
        <w:t xml:space="preserve"> </w:t>
      </w:r>
      <w:r>
        <w:t xml:space="preserve">If such bonds have been authorized and if such contracts have been made in accordance with the Constitution and laws of the State of Texas he shall approve the bonds and such contracts, and the bonds then shall be registered by the Comptroller of Public Accounts. </w:t>
      </w:r>
      <w:r>
        <w:t xml:space="preserve"> </w:t>
      </w:r>
      <w:r>
        <w:t xml:space="preserve">Thereafter, the bonds, and the contracts, if any shall be valid and binding and shall be incontestable for any cause. </w:t>
      </w:r>
      <w:r>
        <w:t xml:space="preserve"> </w:t>
      </w:r>
      <w:r>
        <w:rPr>
          <w:u w:val="single"/>
        </w:rPr>
        <w:t xml:space="preserve">Section 49.181, Water Code, does not apply to the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