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3014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motor vehicle safety inspection of electric vehicles.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548.051, Transportation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motor vehicle that uses electricity as its only source of motor power and that is not equipped with an internal combustion engine is exempt from the inspection requirements relating to the emissions and exhaust systems provided in Subsections (a)(12)-(15).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As soon as practicable after the effective date of this Act, the public safety director of the Department of Public Safety shall adopt or amend department rules as necessary to implement the provisions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2023.</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3014 was passed by the House on May 3, 2023, by the following vote:</w:t>
      </w:r>
      <w:r xml:space="preserve">
        <w:t> </w:t>
      </w:r>
      <w:r xml:space="preserve">
        <w:t> </w:t>
      </w:r>
      <w:r>
        <w:t xml:space="preserve">Yeas 139, Nays 3,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3014 was passed by the Senate on May 19, 2023,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3014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