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Harris of Williamson</w:t>
      </w:r>
      <w:r xml:space="preserve">
        <w:tab wTab="150" tlc="none" cTlc="0"/>
      </w:r>
      <w:r>
        <w:t xml:space="preserve">H.B.</w:t>
      </w:r>
      <w:r xml:space="preserve">
        <w:t> </w:t>
      </w:r>
      <w:r>
        <w:t xml:space="preserve">No.</w:t>
      </w:r>
      <w:r xml:space="preserve">
        <w:t> </w:t>
      </w:r>
      <w:r>
        <w:t xml:space="preserve">3014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motor vehicle safety inspection of electric vehicles.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xml:space="preserve">
        <w:t> </w:t>
      </w:r>
      <w:r xml:space="preserve">
        <w:t> </w:t>
      </w:r>
      <w:r>
        <w:t xml:space="preserve">Section 548.051, Transportation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motor vehicle that uses electricity as its only source of motor power and that is not equipped with an internal combustion engine is exempt from the inspection requirements relating to the emissions and exhaust systems provided in item numbers (12) through (15) of subsection (a).</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As soon as practicable after the effective date of this Act, the public safety director of the Department of Public Safety shall adopt or amend department rules necessary to implement the provisions of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changes in law made by this Act apply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3014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