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88R8578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3018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unlawful use of public funds for communications relating to a measure.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255.003, Election Code, is amended to read as follows:</w:t>
      </w:r>
    </w:p>
    <w:p w:rsidR="003F3435" w:rsidRDefault="0032493E">
      <w:pPr>
        <w:spacing w:line="480" w:lineRule="auto"/>
        <w:ind w:firstLine="720"/>
        <w:jc w:val="both"/>
      </w:pPr>
      <w:r>
        <w:t xml:space="preserve">Sec.</w:t>
      </w:r>
      <w:r xml:space="preserve">
        <w:t> </w:t>
      </w:r>
      <w:r>
        <w:t xml:space="preserve">255.003.</w:t>
      </w:r>
      <w:r xml:space="preserve">
        <w:t> </w:t>
      </w:r>
      <w:r xml:space="preserve">
        <w:t> </w:t>
      </w:r>
      <w:r>
        <w:t xml:space="preserve">UNLAWFUL USE OF PUBLIC FUNDS </w:t>
      </w:r>
      <w:r>
        <w:rPr>
          <w:u w:val="single"/>
        </w:rPr>
        <w:t xml:space="preserve">BY EMPLOYEE OR OFFICER OF POLITICAL SUBDIVISION</w:t>
      </w:r>
      <w:r>
        <w:t xml:space="preserve"> [</w:t>
      </w:r>
      <w:r>
        <w:rPr>
          <w:strike/>
        </w:rPr>
        <w:t xml:space="preserve">FOR POLITICAL ADVERTISING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255.003(a)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An officer or employee of a political subdivision may not knowingly spend or authorize the spending of public funds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political advertising</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communication relating to a measure submitted at an election as a result of an official action adopted or approved by the political subdivision, other than notice required under Chapter 4</w:t>
      </w:r>
      <w:r>
        <w:t xml:space="preserve">.</w:t>
      </w:r>
    </w:p>
    <w:p w:rsidR="003F3435" w:rsidRDefault="0032493E">
      <w:pPr>
        <w:spacing w:line="480" w:lineRule="auto"/>
        <w:ind w:firstLine="720"/>
        <w:jc w:val="both"/>
      </w:pPr>
      <w:r>
        <w:t xml:space="preserve">(c)</w:t>
      </w:r>
      <w:r xml:space="preserve">
        <w:t> </w:t>
      </w:r>
      <w:r xml:space="preserve">
        <w:t> </w:t>
      </w:r>
      <w:r>
        <w:t xml:space="preserve">A person who violates Subsection (a) [</w:t>
      </w:r>
      <w:r>
        <w:rPr>
          <w:strike/>
        </w:rPr>
        <w:t xml:space="preserve">or (b-1)</w:t>
      </w:r>
      <w:r>
        <w:t xml:space="preserve">] commits an offense.  An offense under this section is a Class A misdemeanor.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255.003(b) and (b-1), Election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the use of public funds or resources that occurs on or after the effective date of this Act.  The use of public funds or resources that occurs before the effective date of this Act is governed by the law in effect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