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88R9690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entry into a massage establishment or massage school for an inspection or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455.059,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455.059.</w:t>
      </w:r>
      <w:r xml:space="preserve">
        <w:t> </w:t>
      </w:r>
      <w:r xml:space="preserve">
        <w:t> </w:t>
      </w:r>
      <w:r>
        <w:t xml:space="preserve">INSPECTIONS; INVESTIGATIONS</w:t>
      </w:r>
      <w:r>
        <w:rPr>
          <w:u w:val="single"/>
        </w:rPr>
        <w:t xml:space="preserve">; DENIAL OF ENTRY PROHIBITED</w:t>
      </w:r>
      <w:r>
        <w:t xml:space="preserve">.  </w:t>
      </w:r>
      <w:r>
        <w:rPr>
          <w:u w:val="single"/>
        </w:rPr>
        <w:t xml:space="preserve">(a)</w:t>
      </w:r>
      <w:r>
        <w:t xml:space="preserve">  The department, the department's authorized representative, or a peace officer may enter the premises of a massage establishment or massage school 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reasonable times to conduct an inspection incidental to the issuance of a license;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times that the department, the department's authorized representative, or a peace officer considers necessary to ensure compliance with this chapter and the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massage establishment or massage school may not deny entry to the department, the department's authorized representative, or a peace officer seeking to enter the premises for a purpose and in a manner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