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88R6712 CJD-D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Harrison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3021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prohibition on the receipt of bond proceeds by persons who make a contribution to certain political committees.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253, Election Code, is amended by adding Section 253.008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253.008.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PROHIBITION ON RECEIPT OF BOND PROCEEDS BY PERSONS WHO CONTRIBUTE TO CERTAIN POLITICAL COMMITTEES.  Notwithstanding any law, a person who makes a contribution to a political committee that supports the issuance of a bond may not receive money, including payment under a contract for goods or services, from any proceeds in connection with the bond.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253.008, Election Code, as added by this Act, applies only to a contribution to a political committee that is made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3021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