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offenses of aggravated kidnapping, kidnapping, and interference with child custody.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Bianca's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interference with child custody under Section 25.03(a)(3),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rPr>
          <w:u w:val="single"/>
        </w:rPr>
        <w:t xml:space="preserve">kidnapping under Section 20.03, Penal Code, or</w:t>
      </w:r>
      <w:r xml:space="preserve">
        <w:t> </w:t>
      </w:r>
      <w:r>
        <w:t xml:space="preserve">aggravated kidnapping under Section </w:t>
      </w:r>
      <w:r>
        <w:rPr>
          <w:u w:val="single"/>
        </w:rPr>
        <w:t xml:space="preserve">20.04</w:t>
      </w:r>
      <w:r>
        <w:t xml:space="preserve"> [</w:t>
      </w:r>
      <w:r>
        <w:rPr>
          <w:strike/>
        </w:rPr>
        <w:t xml:space="preserve">20.04(a)(4)</w:t>
      </w:r>
      <w:r>
        <w:t xml:space="preserve">], Penal Code[</w:t>
      </w:r>
      <w:r>
        <w:rPr>
          <w:strike/>
        </w:rPr>
        <w:t xml:space="preserve">, if the defendant committed the offense with the intent to violate or abuse the victim sexually</w:t>
      </w:r>
      <w:r>
        <w:t xml:space="preserve">];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w:t>
      </w:r>
      <w:r xml:space="preserve">
        <w:t> </w:t>
      </w:r>
      <w:r xml:space="preserve">
        <w:t>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25.03, Penal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Subsection (a)(3) also constitutes an offense under Section 20.03, the actor may be prosecuted only under Section 20.03.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12.01, Code of Criminal Procedure, as amended by this Act, does not apply to the prosecution of an offense if that prosecution becomes barred by limitation before the effective date of this Act. The prosecution of the offense remains barred as if this Act had not taken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25.03(e),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3025 was passed by the House on May 3, 2023, by the following vote:</w:t>
      </w:r>
      <w:r xml:space="preserve">
        <w:t> </w:t>
      </w:r>
      <w:r xml:space="preserve">
        <w:t> </w:t>
      </w:r>
      <w:r>
        <w:t xml:space="preserve">Yeas 145,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3025 was passed by the Senate on May 18,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