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 et al.</w:t>
      </w:r>
      <w:r>
        <w:t xml:space="preserve"> (Senate Sponsor</w:t>
      </w:r>
      <w:r xml:space="preserve">
        <w:t> </w:t>
      </w:r>
      <w:r>
        <w:t xml:space="preserve">-</w:t>
      </w:r>
      <w:r xml:space="preserve">
        <w:t> </w:t>
      </w:r>
      <w:r>
        <w:t xml:space="preserve">Middleton)</w:t>
      </w:r>
      <w:r xml:space="preserve">
        <w:tab wTab="150" tlc="none" cTlc="0"/>
      </w:r>
      <w:r>
        <w:t xml:space="preserve">H.B.</w:t>
      </w:r>
      <w:r xml:space="preserve">
        <w:t> </w:t>
      </w:r>
      <w:r>
        <w:t xml:space="preserve">No.</w:t>
      </w:r>
      <w:r xml:space="preserve">
        <w:t> </w:t>
      </w:r>
      <w:r>
        <w:t xml:space="preserve">3025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4,</w:t>
      </w:r>
      <w:r xml:space="preserve">
        <w:t> </w:t>
      </w:r>
      <w:r>
        <w:t xml:space="preserve">2023; May</w:t>
      </w:r>
      <w:r xml:space="preserve">
        <w:t> </w:t>
      </w:r>
      <w:r>
        <w:t xml:space="preserve">5,</w:t>
      </w:r>
      <w:r xml:space="preserve">
        <w:t> </w:t>
      </w:r>
      <w:r>
        <w:t xml:space="preserve">2023, read first time and referred to Committee on Criminal Justice; May</w:t>
      </w:r>
      <w:r xml:space="preserve">
        <w:t> </w:t>
      </w:r>
      <w:r>
        <w:t xml:space="preserve">17,</w:t>
      </w:r>
      <w:r xml:space="preserve">
        <w:t> </w:t>
      </w:r>
      <w:r>
        <w:t xml:space="preserve">2023, reported favorably by the following vote:</w:t>
      </w:r>
      <w:r>
        <w:t xml:space="preserve"> </w:t>
      </w:r>
      <w:r>
        <w:t xml:space="preserve"> </w:t>
      </w:r>
      <w:r>
        <w:t xml:space="preserve">Yeas 7,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prosecution of the criminal offenses of aggravated kidnapping, kidnapping, and interference with child custody.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Bianca's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w:t>
      </w:r>
      <w:r xml:space="preserve">
        <w:t> </w:t>
      </w:r>
      <w:r xml:space="preserve">
        <w:t> </w:t>
      </w:r>
      <w:r>
        <w:t xml:space="preserve">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w:t>
      </w:r>
      <w:r>
        <w:rPr>
          <w:strike/>
        </w:rPr>
        <w:t xml:space="preserve">or</w:t>
      </w:r>
      <w:r>
        <w:t xml:space="preserve">]</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 </w:t>
      </w:r>
      <w:r>
        <w:rPr>
          <w:u w:val="single"/>
        </w:rPr>
        <w:t xml:space="preserve">or</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interference with child custody under Section 25.03(a)(3),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w:t>
      </w:r>
      <w:r>
        <w:rPr>
          <w:u w:val="single"/>
        </w:rPr>
        <w:t xml:space="preserve">,</w:t>
      </w:r>
      <w:r>
        <w:t xml:space="preserve">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rPr>
          <w:u w:val="single"/>
        </w:rPr>
        <w:t xml:space="preserve">kidnapping under Section 20.03, Penal Code, or</w:t>
      </w:r>
      <w:r xml:space="preserve">
        <w:t> </w:t>
      </w:r>
      <w:r>
        <w:t xml:space="preserve">aggravated kidnapping under Section </w:t>
      </w:r>
      <w:r>
        <w:rPr>
          <w:u w:val="single"/>
        </w:rPr>
        <w:t xml:space="preserve">20.04</w:t>
      </w:r>
      <w:r>
        <w:t xml:space="preserve"> [</w:t>
      </w:r>
      <w:r>
        <w:rPr>
          <w:strike/>
        </w:rPr>
        <w:t xml:space="preserve">20.04(a)(4)</w:t>
      </w:r>
      <w:r>
        <w:t xml:space="preserve">], Penal Code[</w:t>
      </w:r>
      <w:r>
        <w:rPr>
          <w:strike/>
        </w:rPr>
        <w:t xml:space="preserve">, if the defendant committed the offense with the intent to violate or abuse the victim sexually</w:t>
      </w:r>
      <w:r>
        <w:t xml:space="preserve">];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(7)</w:t>
      </w:r>
      <w:r xml:space="preserve">
        <w:t> </w:t>
      </w:r>
      <w:r xml:space="preserve">
        <w:t> </w:t>
      </w:r>
      <w:r>
        <w:t xml:space="preserve">two years from the date the offense was discovered:</w:t>
      </w:r>
      <w:r xml:space="preserve">
        <w:t> </w:t>
      </w:r>
      <w:r xml:space="preserve">
        <w:t> </w:t>
      </w:r>
      <w:r>
        <w:t xml:space="preserve">sexual assault punishable as a state jail felony under Section 22.011(f)(2), Penal Code; or</w:t>
      </w:r>
    </w:p>
    <w:p w:rsidR="003F3435" w:rsidRDefault="0032493E">
      <w:pPr>
        <w:spacing w:line="480" w:lineRule="auto"/>
        <w:ind w:firstLine="1440"/>
        <w:jc w:val="both"/>
      </w:pPr>
      <w:r>
        <w:t xml:space="preserve">(8)</w:t>
      </w:r>
      <w:r xml:space="preserve">
        <w:t> </w:t>
      </w:r>
      <w:r xml:space="preserve">
        <w:t> </w:t>
      </w:r>
      <w:r>
        <w:t xml:space="preserve">three years from the date of the commission of the offense:</w:t>
      </w:r>
      <w:r xml:space="preserve">
        <w:t> </w:t>
      </w:r>
      <w:r xml:space="preserve">
        <w:t> </w:t>
      </w:r>
      <w:r>
        <w:t xml:space="preserve">all other felonies.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25.03, Penal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conduct that constitutes an offense under Subsection (a)(3) also constitutes an offense under Section 20.03, the actor may be prosecuted only under Section 20.03.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12.01, Code of Criminal Procedure, as amended by this Act, does not apply to the prosecution of an offense if that prosecution becomes barred by limitation before the effective date of this Act. The prosecution of the offense remains barred as if this Act had not taken effect.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25.03(e), Penal Code, as added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