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88R9617 JTZ-D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Johnson of Dallas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3029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practice of cosmetology by an eyelash specialist license holder.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1603.0011(c),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In addition to the services described by Subsection (a), the practice of cosmetology includes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performing or offering to perform for compensation the service of applying semipermanent, thread-like extensions composed of single fibers to a person's eyelashes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altering the shape or color of a person's eyelashes using a cosmetic preparation or appliance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1603.2103(a),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person holding: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Class A barber license may perform any barbering service;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cosmetology operator license may perform any cosmetology service;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manicurist license may perform any service described by Section 1603.0011(a)(7) or (8);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an esthetician license may perform any service described by Section 1603.0011(a)(3), (4), (5), or (6) or (c);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manicurist/esthetician license may perform any service described by Section 1603.0011(a)(3), (4), (5), (6), (7), or (8) or (c);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 hair weaving specialist license may perform any service described by Section 1603.0011(a)(9);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a hair weaving specialist/esthetician license may perform any service described by Section 1603.0011(a)(3), (4), (5), (6), or (9) or (c);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an eyelash [</w:t>
      </w:r>
      <w:r>
        <w:rPr>
          <w:strike/>
        </w:rPr>
        <w:t xml:space="preserve">extension</w:t>
      </w:r>
      <w:r>
        <w:t xml:space="preserve">] specialist license may perform any service described by Section 1603.0011(c).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1603.2203(a),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An establishment licensed as: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 establishment may provide any barbering or cosmetology service;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manicurist specialty establishment may provide any service described by Section 1603.0011(a)(7) or (8);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an esthetician specialty establishment may provide any service described by Section 1603.0011(a)(3), (4), (5), or (6) or (c);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manicurist/esthetician specialty establishment may provide any service described by Section 1603.0011(a)(3), (4), (5), (6), (7), or (8) or (c);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hair weaving specialty establishment may provide any service described by Section 1603.0011(a)(9);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an eyelash [</w:t>
      </w:r>
      <w:r>
        <w:rPr>
          <w:strike/>
        </w:rPr>
        <w:t xml:space="preserve">extension</w:t>
      </w:r>
      <w:r>
        <w:t xml:space="preserve">] specialty establishment may provide any service described by Section 1603.0011(c);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a mini-establishment may provide any barbering or cosmetology service;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a mobile establishment may provide any barbering or cosmetology service.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3029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