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88R3753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Wilson, Bumgarner,</w:t>
      </w:r>
      <w:r xml:space="preserve">
        <w:tab wTab="150" tlc="none" cTlc="0"/>
      </w:r>
      <w:r>
        <w:t xml:space="preserve">H.B.</w:t>
      </w:r>
      <w:r xml:space="preserve">
        <w:t> </w:t>
      </w:r>
      <w:r>
        <w:t xml:space="preserve">No.</w:t>
      </w:r>
      <w:r xml:space="preserve">
        <w:t> </w:t>
      </w:r>
      <w:r>
        <w:t xml:space="preserve">3031</w:t>
      </w:r>
    </w:p>
    <w:p w:rsidR="003F3435" w:rsidRDefault="0032493E">
      <w:pPr>
        <w:jc w:val="both"/>
      </w:pPr>
      <w:r xml:space="preserve">
        <w:t> </w:t>
      </w:r>
      <w:r xml:space="preserve">
        <w:t> </w:t>
      </w:r>
      <w:r xml:space="preserve">
        <w:t> </w:t>
      </w:r>
      <w:r xml:space="preserve">
        <w:t> </w:t>
      </w:r>
      <w:r xml:space="preserve">
        <w:t> </w:t>
      </w:r>
      <w:r>
        <w:t xml:space="preserve">Garcia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members of the Texas military forces experiencing financial hardship caused by a tax withholding error.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437, Government Code, is amended by adding Section 437.233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437.233.</w:t>
      </w:r>
      <w:r>
        <w:rPr>
          <w:u w:val="single"/>
        </w:rPr>
        <w:t xml:space="preserve"> </w:t>
      </w:r>
      <w:r>
        <w:rPr>
          <w:u w:val="single"/>
        </w:rPr>
        <w:t xml:space="preserve"> </w:t>
      </w:r>
      <w:r>
        <w:rPr>
          <w:u w:val="single"/>
        </w:rPr>
        <w:t xml:space="preserve">GRANT PROGRAM FOR FINANCIAL HARDSHIP CAUSED BY TAX WITHHOLDING ERROR.  (a)  The department shall establish and administer a grant program to assist members of the Texas military forces who experience financial hardship caused by a federal tax withholding error in connection with the compensation paid to members who served in Operation Lone Star in 2021 or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Texas military forces is eligible for a grant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erroneously withheld an insufficient amount from the member's compensation for service in Operation Lone Star in 2021 or 2022 to cover the federal income tax imposed on that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certifies in the grant application that the member did not have actual knowledge of the withholding error;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demonstrates that the withholding error caused the member financial hardship.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establish additional eligibility criteria for grant applicants;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establish: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guidelines relating to grant amounts that ensure that a grant to a member does not exceed the difference between the amount the member owed in federal income taxes on compensation the member received for service in Operation Lone Star in 2021 or 2022 and the amount withheld for federal income taxes;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criteria for evaluating grant applications.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2024, the department shall report to the governor and the legislature on the results and performance of the grant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