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88R13008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3033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attorney general decisions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552.306,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552.011, the attorney general shall promptly render a decision requested under this subchapter, consistent with the standards of due process, determining whether the requested information is within one of the exceptions of Subchapter C.  The attorney general shall render the decision not later than the </w:t>
      </w:r>
      <w:r>
        <w:rPr>
          <w:u w:val="single"/>
        </w:rPr>
        <w:t xml:space="preserve">30th</w:t>
      </w:r>
      <w:r>
        <w:t xml:space="preserve"> [</w:t>
      </w:r>
      <w:r>
        <w:rPr>
          <w:strike/>
        </w:rPr>
        <w:t xml:space="preserve">45th</w:t>
      </w:r>
      <w:r>
        <w:t xml:space="preserve">] business day after the date the attorney general received the request for a decision.  [</w:t>
      </w:r>
      <w:r>
        <w:rPr>
          <w:strike/>
        </w:rPr>
        <w:t xml:space="preserve">If the attorney general is unable to issue the decision within the 45-day period, the attorney general may extend the period for issuing the decision by an additional 10 business days by informing the governmental body and the requestor, during the original 45-day period, of the reason for the delay.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shall as soon as practicable but not later than the 15th day after the date a decision is issued: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produce the information subject to the decision that is required to be produced;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in writing the person who requested the information that the governmental body is withholding the information as authorized by the decision.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552, Government Code, is amended by adding Section 552.310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552.310.</w:t>
      </w:r>
      <w:r>
        <w:rPr>
          <w:u w:val="single"/>
        </w:rPr>
        <w:t xml:space="preserve"> </w:t>
      </w:r>
      <w:r>
        <w:rPr>
          <w:u w:val="single"/>
        </w:rPr>
        <w:t xml:space="preserve"> </w:t>
      </w:r>
      <w:r>
        <w:rPr>
          <w:u w:val="single"/>
        </w:rPr>
        <w:t xml:space="preserve">SEARCHABLE DATABASE.  (a)  The office of the attorney general shall make available on the office's Internet website an easily accessible and searchable database consisting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request for an attorney general decision made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general's decision on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at a minimum must allow a person to search for a request or decision described by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governmental body making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exception under Subchapter C that a governmental body asserts in the request applies to its request to withhold information from public disclosure.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 allow a person to view the current status of a request described by Subsection (a)(1) and an estimated timeline indicating the date each stage of review of the request will be started and completed.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552.306, Government Code, as amended by this Act, applies to a request for an attorney general decision made under Subchapter G, Chapter 552, of that code on or after the effective date of this Act.  A request for an attorney general decision made before the effective date of this Act is governed by the law in effect on the date the request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but not later than January 1, 2024, the office of the attorney general shall make the database required by Section 552.310, Government Code, as added by this Act, available on the office's Internet website.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