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88R12290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3034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regarding nonemergency ambulance and certain nonemergency health care coverage 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1210, Insurance Code, is amended to read as follows:</w:t>
      </w:r>
    </w:p>
    <w:p w:rsidR="003F3435" w:rsidRDefault="0032493E">
      <w:pPr>
        <w:spacing w:line="480" w:lineRule="auto"/>
        <w:jc w:val="center"/>
      </w:pPr>
      <w:r>
        <w:t xml:space="preserve">CHAPTER 1210. NOTICE OF CERTAIN POLICY PROVISIONS</w:t>
      </w:r>
    </w:p>
    <w:p w:rsidR="003F3435" w:rsidRDefault="0032493E">
      <w:pPr>
        <w:spacing w:line="480" w:lineRule="auto"/>
        <w:jc w:val="center"/>
      </w:pPr>
      <w:r>
        <w:rPr>
          <w:u w:val="single"/>
        </w:rPr>
        <w:t xml:space="preserve">SUBCHAPTER A. NOTICE OF PROVISIONS RELATED TO RENEWAL OR NONRENEWAL</w:t>
      </w:r>
    </w:p>
    <w:p w:rsidR="003F3435" w:rsidRDefault="0032493E">
      <w:pPr>
        <w:spacing w:line="480" w:lineRule="auto"/>
        <w:ind w:firstLine="720"/>
        <w:jc w:val="both"/>
      </w:pPr>
      <w:r>
        <w:t xml:space="preserve">Sec.</w:t>
      </w:r>
      <w:r xml:space="preserve">
        <w:t> </w:t>
      </w:r>
      <w:r>
        <w:t xml:space="preserve">1210.001.</w:t>
      </w:r>
      <w:r xml:space="preserve">
        <w:t> </w:t>
      </w:r>
      <w:r xml:space="preserve">
        <w:t> </w:t>
      </w:r>
      <w:r>
        <w:t xml:space="preserve">NOTICE REQUIRED.</w:t>
      </w:r>
      <w:r xml:space="preserve">
        <w:t> </w:t>
      </w:r>
      <w:r xml:space="preserve">
        <w:t> </w:t>
      </w:r>
      <w:r>
        <w:t xml:space="preserve">A policy, contract, or certificate of insurance that insures against loss resulting from sickness or accidental bodily injury and that is subject to an increase in the premium at time of renewal or to nonrenewal on the insured attaining a certain age may not be delivered, issued, or used in this state unless the document contains on the first page above the policy provisions a printed notice in 10-point type that states that the policy, contract, or certificate is subject to either or both conditions.</w:t>
      </w:r>
    </w:p>
    <w:p w:rsidR="003F3435" w:rsidRDefault="0032493E">
      <w:pPr>
        <w:spacing w:line="480" w:lineRule="auto"/>
        <w:jc w:val="center"/>
      </w:pPr>
      <w:r>
        <w:rPr>
          <w:u w:val="single"/>
        </w:rPr>
        <w:t xml:space="preserve">SUBCHAPTER B. AMBULANCE AND CERTAIN NONEMERGENCY HEALTH CARE COVERAGE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1210.011.</w:t>
      </w:r>
      <w:r>
        <w:rPr>
          <w:u w:val="single"/>
        </w:rPr>
        <w:t xml:space="preserve"> </w:t>
      </w:r>
      <w:r>
        <w:rPr>
          <w:u w:val="single"/>
        </w:rPr>
        <w:t xml:space="preserve"> </w:t>
      </w:r>
      <w:r>
        <w:rPr>
          <w:u w:val="single"/>
        </w:rPr>
        <w:t xml:space="preserve">DEFINITION.  In this subchapter, "emergency medical services personnel" has the meaning assigned by Section 773.003,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1210.012.</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w:t>
      </w:r>
      <w:r>
        <w:rPr>
          <w:u w:val="single"/>
        </w:rPr>
        <w:t xml:space="preserve"> </w:t>
      </w:r>
      <w:r>
        <w:rPr>
          <w:u w:val="single"/>
        </w:rPr>
        <w:t xml:space="preserve">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county employee group health benefits provided under Chapter 157, Local Government Code;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health and accident coverage provided by a risk pool created under Chapter 172,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1210.013.</w:t>
      </w:r>
      <w:r>
        <w:rPr>
          <w:u w:val="single"/>
        </w:rPr>
        <w:t xml:space="preserve"> </w:t>
      </w:r>
      <w:r>
        <w:rPr>
          <w:u w:val="single"/>
        </w:rPr>
        <w:t xml:space="preserve"> </w:t>
      </w:r>
      <w:r>
        <w:rPr>
          <w:u w:val="single"/>
        </w:rPr>
        <w:t xml:space="preserve">NOTICE REQUIRED.  (a) This section applies only with respect to a health benefit plan that does not provide coverage for nonemergency ambulance services or nonemergency health care services provided by emergency medical services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or administrator shall provide written notice in the form and manner prescribed by the commissioner in an explanation of benefits provided to an enrollee that the enrollee's plan does not cover nonemergency ambulance services or nonemergency health care services provided by emergency medical services personnel.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the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