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88R9992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3035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on bail of a defendant charged with stalking or an offense involving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17.03(a) and (b-2), Code of Criminal Procedure, are amended to read as follows:</w:t>
      </w:r>
      <w:r xml:space="preserve">
        <w:t> </w:t>
      </w:r>
    </w:p>
    <w:p w:rsidR="003F3435" w:rsidRDefault="0032493E">
      <w:pPr>
        <w:spacing w:line="480" w:lineRule="auto"/>
        <w:ind w:firstLine="720"/>
        <w:jc w:val="both"/>
      </w:pPr>
      <w:r>
        <w:t xml:space="preserve">(a)</w:t>
      </w:r>
      <w:r xml:space="preserve">
        <w:t> </w:t>
      </w:r>
      <w:r xml:space="preserve">
        <w:t> </w:t>
      </w:r>
      <w:r>
        <w:t xml:space="preserve">Except as </w:t>
      </w:r>
      <w:r>
        <w:rPr>
          <w:u w:val="single"/>
        </w:rPr>
        <w:t xml:space="preserve">otherwise</w:t>
      </w:r>
      <w:r>
        <w:t xml:space="preserve"> provided by </w:t>
      </w:r>
      <w:r>
        <w:rPr>
          <w:u w:val="single"/>
        </w:rPr>
        <w:t xml:space="preserve">this article</w:t>
      </w:r>
      <w:r>
        <w:t xml:space="preserve"> [</w:t>
      </w:r>
      <w:r>
        <w:rPr>
          <w:strike/>
        </w:rPr>
        <w:t xml:space="preserve">Subsection (b) or (b-1)</w:t>
      </w:r>
      <w:r>
        <w:t xml:space="preserve">], a magistrate may, in the magistrate's discretion, release the defendant on personal bond without sureties or other security.</w:t>
      </w:r>
    </w:p>
    <w:p w:rsidR="003F3435" w:rsidRDefault="0032493E">
      <w:pPr>
        <w:spacing w:line="480" w:lineRule="auto"/>
        <w:ind w:firstLine="720"/>
        <w:jc w:val="both"/>
      </w:pPr>
      <w:r>
        <w:t xml:space="preserve">(b-2)</w:t>
      </w:r>
      <w:r xml:space="preserve">
        <w:t> </w:t>
      </w:r>
      <w:r xml:space="preserve">
        <w:t> </w:t>
      </w:r>
      <w:r>
        <w:t xml:space="preserve">Except as provided by Articles 15.21,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offense involving family violence, as defined by Section 71.004, Family Code;</w:t>
      </w:r>
      <w:r>
        <w:t xml:space="preserv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 Code of Criminal Procedure, is amended by adding Article 17.1501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17.1501.</w:t>
      </w:r>
      <w:r>
        <w:rPr>
          <w:u w:val="single"/>
        </w:rPr>
        <w:t xml:space="preserve"> </w:t>
      </w:r>
      <w:r>
        <w:rPr>
          <w:u w:val="single"/>
        </w:rPr>
        <w:t xml:space="preserve"> </w:t>
      </w:r>
      <w:r>
        <w:rPr>
          <w:u w:val="single"/>
        </w:rPr>
        <w:t xml:space="preserve">MINIMUM AMOUNT OF BAIL FOR DEFENDANT CHARGED WITH STALKING OR OFFENSE INVOLVING FAMILY VIOLENCE.  (a)  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"Stalking" means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42.072,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law listed in Section 42.072(b), Penal Code, that contains elements that are substantially similar to the elements of an offense under Section 42.072 of that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minimum amount of bail required for a defendant charged with an offense under Section 42.072, Penal Code, or an offense involving family violence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$20,000, except as provided by Subdivisions (2) and (3);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 if the defendant has previously been convicted one time of stalking or an offense involving family violence;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$100,000, if the defendant has previously been convicted two or more times of stalking or an offense involving family violence.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person who is arrested on or after December 1, 2023. A person arrested before December 1, 2023,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December 1, 2023, but only if the constitutional amendment proposed by the 88th Legislature, Regular Session, 2023, authorizing the legislature to set a minimum amount of monetary bond for persons charged with stalking or an offense involving family violence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