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88R3413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3043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rate adjustments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36.210, Utilities Code, is amended by amending Subsections (a), (d), (f),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a regulatory authority</w:t>
      </w:r>
      <w:r>
        <w:t xml:space="preserve">], on the petition of an electric utility, may approve a tariff or rate schedule in which a nonfuel rate may be periodically adjusted upward or downward, based on changes in the parts of the utility's invested capital, as described by Section 36.053, that are categorized </w:t>
      </w:r>
      <w:r>
        <w:rPr>
          <w:u w:val="single"/>
        </w:rPr>
        <w:t xml:space="preserve">or functionalized</w:t>
      </w:r>
      <w:r>
        <w:t xml:space="preserve">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be approved or denied in accordance with an expedited procedure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for appropriate updates of information;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allows for participation by the office and affected parties;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extends for not less than 60 days;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be applied by an electric utility on a system-wide basis; 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(d)</w:t>
      </w:r>
      <w:r xml:space="preserve">
        <w:t> </w:t>
      </w:r>
      <w:r xml:space="preserve">
        <w:t> </w:t>
      </w:r>
      <w:r>
        <w:rPr>
          <w:u w:val="single"/>
        </w:rPr>
        <w:t xml:space="preserve">An</w:t>
      </w:r>
      <w:r>
        <w:t xml:space="preserve"> [</w:t>
      </w:r>
      <w:r>
        <w:rPr>
          <w:strike/>
        </w:rPr>
        <w:t xml:space="preserve">Except as provided by Subsection (d-1), an</w:t>
      </w:r>
      <w:r>
        <w:t xml:space="preserve">] electric utility may adjust the utility's rates under this section not more than </w:t>
      </w:r>
      <w:r>
        <w:rPr>
          <w:u w:val="single"/>
        </w:rPr>
        <w:t xml:space="preserve">twice</w:t>
      </w:r>
      <w:r>
        <w:t xml:space="preserve"> [</w:t>
      </w:r>
      <w:r>
        <w:rPr>
          <w:strike/>
        </w:rPr>
        <w:t xml:space="preserve">once</w:t>
      </w:r>
      <w:r>
        <w:t xml:space="preserve">] per year [</w:t>
      </w:r>
      <w:r>
        <w:rPr>
          <w:strike/>
        </w:rPr>
        <w:t xml:space="preserve">and not more than four times between comprehensive base rate proceedings</w:t>
      </w:r>
      <w:r>
        <w:t xml:space="preserve">].</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39;</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32.002;</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35.004(d);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limit the jurisdiction of a municipality over the rates, operations, and services of an electric utility as provided by Section 33.001;</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limit the ability of a municipality to obtain a reimbursement under Section 33.023 for the reasonable cost of services of a person engaged in an activity described by that section;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  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w:t>
      </w:r>
      <w:r>
        <w:rPr>
          <w:strike/>
        </w:rPr>
        <w:t xml:space="preserve">the expedited procedure described by</w:t>
      </w:r>
      <w:r>
        <w:t xml:space="preserve">] Subsection </w:t>
      </w:r>
      <w:r>
        <w:rPr>
          <w:u w:val="single"/>
        </w:rPr>
        <w:t xml:space="preserve">(a)</w:t>
      </w:r>
      <w:r>
        <w:t xml:space="preserve"> </w:t>
      </w:r>
      <w:r>
        <w:t xml:space="preserve">[</w:t>
      </w:r>
      <w:r>
        <w:rPr>
          <w:strike/>
        </w:rPr>
        <w:t xml:space="preserve">(a)(1)</w:t>
      </w:r>
      <w:r>
        <w:t xml:space="preserve">];</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w:t>
      </w:r>
      <w:r>
        <w:rPr>
          <w:strike/>
        </w:rPr>
        <w:t xml:space="preserve">or regulatory authority</w:t>
      </w:r>
      <w:r>
        <w:t xml:space="preserve">]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electric utility may file a request for a periodic rate adjustment under this section on any day on which the commission is open for business.  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enter a final order on a request for a periodic rate adjustment under this section not later than the 60th day after the date the request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36.210(d-1),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proceeding before the Public Utility Commission of Texas, or other regulatory authority described by Section 11.003, Utilities Code, that commences on or after the effective date of this Act. A proceeding before the Public Utility Commission of Texas or other regulatory authority described by Section 11.003, Utilities Code, that commenced before the effective date of this Act is governed by the law in effect on the date the proceeding commenced,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