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88R22774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Kacal, 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omission of a deceased candidate from the ballot in certain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145.096(a),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(b) or Section 145.098(b) </w:t>
      </w:r>
      <w:r>
        <w:rPr>
          <w:u w:val="single"/>
        </w:rPr>
        <w:t xml:space="preserve">or (d)</w:t>
      </w:r>
      <w:r>
        <w:t xml:space="preserve">, a candidate's name shall be placed on the ballot if the candidate: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dies on or after the second day before the deadline for filing the candidate's application for a place on the ballot;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declared ineligible after 5 p.m. of the fifth day after the deadline for filing the candidate's application for a place on the ballot, in an election subject to Section 145.092(a);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declared ineligible after 5 p.m. of the 57th day before election day, in an election subject to Section 145.092(b);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is declared ineligible after 5 p.m. of the 71st day before election day, in an election subject to Section 145.092(f).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145.098, Election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deadline for filing an application for a place on the ballot is extended under Subsection (b), the authority responsible for preparing the ballot shall: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prepare a notice identifying the name of the deceased candidate, the office sought by the candidate, and the date of the new filing deadline;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the notice prepared under Subdivision (1):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Internet website maintained by the political subdivision holding the election; or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political subdivision does not maintain an Internet website, on the bulletin board used for posting notice of meetings of the governing body of the political subdivision.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candidate for an office of a city with a population of 100,000 or less dies before the ballots are printed, the authority responsible for preparing the ballots may choose to omit the candidate from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an election ordered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