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3051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funding to the Texas Historical Commission for state historic sites.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442.0083(e),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grant for a historic courthouse project may not exceed the greater of </w:t>
      </w:r>
      <w:r>
        <w:rPr>
          <w:u w:val="single"/>
        </w:rPr>
        <w:t xml:space="preserve">$10 million</w:t>
      </w:r>
      <w:r>
        <w:t xml:space="preserve"> [</w:t>
      </w:r>
      <w:r>
        <w:rPr>
          <w:strike/>
        </w:rPr>
        <w:t xml:space="preserve">$6 million</w:t>
      </w:r>
      <w:r>
        <w:t xml:space="preserve">] or two percent of the amount appropriated for implementing the historic courthouse preservation program during the state fiscal biennium.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442, Government Code, is amended by adding Section 442.0151 to</w:t>
      </w:r>
      <w:r>
        <w:t xml:space="preserve">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442.0151.</w:t>
      </w:r>
      <w:r>
        <w:rPr>
          <w:u w:val="single"/>
        </w:rPr>
        <w:t xml:space="preserve"> </w:t>
      </w:r>
      <w:r>
        <w:rPr>
          <w:u w:val="single"/>
        </w:rPr>
        <w:t xml:space="preserve"> </w:t>
      </w:r>
      <w:r>
        <w:rPr>
          <w:u w:val="single"/>
        </w:rPr>
        <w:t xml:space="preserve">HISTORIC INFRASTRUCTURE SUSTAINABILITY TRUST FUND.  (a)  The historic infrastructure sustainability trust fund is created as a trust fund outside the treasury held by the Texas Treasury Safekeeping Trust Company and administered by the comptroller as trustee on behalf of the people of this state to generate earnings on money in the fund for the purpose of maintaining, preserving, rehabilitating, and restoring historic sites throughout the state.  In this section, "trust company" means the Texas Treasury Safekeeping Trust Company, and "commission" means the Texas Historical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or transferred to the fund at the direction of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and donations received by the commission for a purpose for which money in the fund may be used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returns received from investment of money in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 company shall hold, manage, and invest the fund.  The trust company shall determine the amount available for distribution from the fund determined in accordance with a distribution policy that is adopted by the comptroller and designed to preserve the purchasing power of the fund's assets, provide a stable and predictable stream of annual distributions, and meet liquidity needs of the fund as appropriate. The expenses of managing the fund and its assets shall be paid from the fund.  Except as provided by this section, money in the fund may not be used for any other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liquidity requirements, and other circumstances of the fund then prevailing, taking into consideration the investment of all the assets of the fund rather than a single investment.  The commission will provide the trust company with a cash flow forecast at least annually, and more frequently as appropriate, for purposes of distribution and liquidity requirements.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request an annual fund distribution not to exceed the amount the trust company determines available for distribution as provided under subsection (b).  The amount distributed may only be used for the purpose of maintaining, preserving, rehabilitating, and restoring state historic sites under the control of the commission and for the historic courthouse preservation program under Section 442.0081.  The commission shall spend at least one-third of the funds distributed on the historic courthouse preservation program.  Money in the fund may not be used to pay salaries, employee benefits, costs associated with employee benefits, or administration, operating, or program costs of 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subsection (f), not more frequently than once per calendar year, the commission may request an additional distribution from the fund in excess of the amount the trust company determines is available for distribution under the terms of subsection (b), to be used for the purposes described in subsection (d).  The amount requested pursuant to this subsection shall not exceed the amount distributed to the commission pursuant to the comptroller's policy in the preceding calendar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may approve a distribution of the fund authorized under Subsection (e) after the commission certifies to the Legislative Budget Board that:</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the commission has reviewed and approved the use of the money;</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all purchases made with the money will conform to any applicable provision of law governing state procurement and contracting; and</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the money will not be used to:</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pay salaries, employee benefits, costs associated with employee benefits, or administration, operating or program costs of the commission or the buildings or grounds subject to its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acquire new historic sites or real property; 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purchase capital equipment that is not related to the rehabilitation or restoration of a building or grounds.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All expenditures by the commission under this section are subject to audit by the state auditor.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shall include in the strategic plan submitted under Section 2056.002 a report on each project funded using money in the fund during the two-year period preceding the date on which the commission submits the plan and a list of each project the commission anticipates will be funded using money in the fund for the period covered by the plan.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442.073, Government Code, is amended by amending Subsection (d) and adding Subsection (e)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(e), money</w:t>
      </w:r>
      <w:r>
        <w:t xml:space="preserve"> [</w:t>
      </w:r>
      <w:r>
        <w:rPr>
          <w:strike/>
        </w:rPr>
        <w:t xml:space="preserve">Money</w:t>
      </w:r>
      <w:r>
        <w:t xml:space="preserve">] in the account may be used only to administer, operate, preserve, repair, expand, or otherwise maintain a historic site or to acquire a historical item appropriate to a historic 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make an expenditure from the account for a historic site that is not described by Section 442.072(a).  The commission shall provide notice of an expenditure described by this subsection to the Legislative Budget Board not later than the 30th day after the date the commission makes the expenditure.  The Legislative Budget Board may establish the procedure by which the commission provides notice to the board under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