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et al.</w:t>
      </w:r>
      <w:r xml:space="preserve">
        <w:tab wTab="150" tlc="none" cTlc="0"/>
      </w:r>
      <w:r>
        <w:t xml:space="preserve">H.B.</w:t>
      </w:r>
      <w:r xml:space="preserve">
        <w:t> </w:t>
      </w:r>
      <w:r>
        <w:t xml:space="preserve">No.</w:t>
      </w:r>
      <w:r xml:space="preserve">
        <w:t> </w:t>
      </w:r>
      <w:r>
        <w:t xml:space="preserve">3053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disannexation of certain areas annexed during a certain period of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Local Government Code, is amended by adding Section 43.1463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43.1463.</w:t>
      </w:r>
      <w:r>
        <w:rPr>
          <w:u w:val="single"/>
        </w:rPr>
        <w:t xml:space="preserve"> </w:t>
      </w:r>
      <w:r>
        <w:rPr>
          <w:u w:val="single"/>
        </w:rPr>
        <w:t xml:space="preserve"> </w:t>
      </w:r>
      <w:r>
        <w:rPr>
          <w:u w:val="single"/>
        </w:rPr>
        <w:t xml:space="preserve">DISANNEXATION OF AREAS ANNEXED DURING TRANSITION FROM NONCONSENT TO CONSENT ANNEXATION MODEL.  (a)  This section applies only to an area: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an annexation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initiated by a municipality with a population of 500,000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finalized for full purposes between March 3, 2015, and December 1, 2017;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had a population of greater than zero on the date the area was annexed.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whose extraterritorial jurisdiction is adjacent to or includes all or part of a federal military installation in active use as of May 1, 2023;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all or part of a federal military installation in active use as of May 1, 2023,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shall hold an election in an area described by Subsection (a) on the question of disannexing the area from the municipality.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use public money on promotional campaigns or advocacy related to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ensure that the ballot proposition for the election: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describes the area to be disannexed;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identifies the area by the commonly used name of the area,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identifies the entities that will provide law enforcement, fire, and emergency services after disannexation;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describes the effect of disannexation on ad valorem taxes and fees in the area;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describes the effect of disannexation on special districts located in the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shall disannex an area described by Subsection (a), including residential and commercial property in the area, if the voters approve the disannexation in the election held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shall retain ownership of any infrastructure, including a water treatment and storage facility, transferred to the municipality from a special district as part of the annexation of an area disannexed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an area is disannexed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special district located in and serving the area may be dissolved only if the members of the governing body of the district elect to dissolve the district after the disannexation;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services district located in or adjacent to the area shall provide services to the area.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municipality shall continue to impose a property tax each year on the property in the area at the same rate that is imposed on other property in the municipality until the taxes collected from the area equal its pro rata share of the indebtedness. Those taxes may be charged only with the cost of imposing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rPr>
          <w:u w:val="single"/>
        </w:rPr>
        <w:t xml:space="preserve">(h</w:t>
      </w:r>
      <w:r>
        <w:rPr>
          <w:u w:val="single"/>
        </w:rPr>
        <w:t xml:space="preserve">)</w:t>
      </w:r>
      <w:r>
        <w:rPr>
          <w:u w:val="single"/>
        </w:rPr>
        <w:t xml:space="preserve"> </w:t>
      </w:r>
      <w:r>
        <w:rPr>
          <w:u w:val="single"/>
        </w:rPr>
        <w:t xml:space="preserve"> </w:t>
      </w:r>
      <w:r>
        <w:rPr>
          <w:u w:val="single"/>
        </w:rPr>
        <w:t xml:space="preserve">Section 43.148 does not apply to an area disannexed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municipality required to hold an election under Section 43.1463(c), Local Government Code, as added by this Act, shall hold the election on the first uniform election date after the effective date of this Act that allows sufficient time to comply with any requirements of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