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3053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April</w:t>
      </w:r>
      <w:r xml:space="preserve">
        <w:t> </w:t>
      </w:r>
      <w:r>
        <w:t xml:space="preserve">27,</w:t>
      </w:r>
      <w:r xml:space="preserve">
        <w:t> </w:t>
      </w:r>
      <w:r>
        <w:t xml:space="preserve">2023, read first time and referred to Committee on Local Government; May</w:t>
      </w:r>
      <w:r xml:space="preserve">
        <w:t> </w:t>
      </w:r>
      <w:r>
        <w:t xml:space="preserve">10,</w:t>
      </w:r>
      <w:r xml:space="preserve">
        <w:t> </w:t>
      </w:r>
      <w:r>
        <w:t xml:space="preserve">2023, reported favorably by the following vote:</w:t>
      </w:r>
      <w:r>
        <w:t xml:space="preserve"> </w:t>
      </w:r>
      <w:r>
        <w:t xml:space="preserve"> </w:t>
      </w:r>
      <w:r>
        <w:t xml:space="preserve">Yeas 6, Nays 3;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municipal disannexation of certain areas annexed during a certain period of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43, Local Government Code, is amended by adding Section 43.1463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43.1463.</w:t>
      </w:r>
      <w:r>
        <w:rPr>
          <w:u w:val="single"/>
        </w:rPr>
        <w:t xml:space="preserve"> </w:t>
      </w:r>
      <w:r>
        <w:rPr>
          <w:u w:val="single"/>
        </w:rPr>
        <w:t xml:space="preserve"> </w:t>
      </w:r>
      <w:r>
        <w:rPr>
          <w:u w:val="single"/>
        </w:rPr>
        <w:t xml:space="preserve">DISANNEXATION OF AREAS ANNEXED DURING TRANSITION FROM NONCONSENT TO CONSENT ANNEXATION MODEL.  (a)  This section applies only to an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an annexation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initiated by a municipality with a population of 500,000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finalized for full purposes between March 3, 2015, and December 1, 2017;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had a population of greater than zero on the date the area was annexed.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extraterritorial jurisdiction is adjacent to or includes all or part of a federal military installation in active use as of May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all or part of a federal military installation in active use as of May 1, 2023,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public money on promotional campaigns or advocacy related to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ensure that the ballot proposition for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describes the area to be disannexed;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area by the commonly used name of the area,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identifies the entities that will provide law enforcement, fire, and emergency services after disannexation;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describes the effect of disannexation on ad valorem taxes and fees in the area;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describes the effect of disannexation on special districts located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shall disannex an area described by Subsection (a), including residential and commercial property in the area, if the voters approve the disannexation in the election held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an area is disannexed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 located in or adjacent to the area shall provide services to the area.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43.148 does not apply to an area disannexed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municipality required to hold an election under Section 43.1463(c), Local Government Code, as added by this Act, shall hold the election on the first uniform election date after the effective date of this Act that allows sufficient time to comply with any requirements of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