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88R9813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3055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purposes for which certain counties may use county hotel occupancy tax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352.110, Tax Code, is amended to read as follows:</w:t>
      </w:r>
    </w:p>
    <w:p w:rsidR="003F3435" w:rsidRDefault="0032493E">
      <w:pPr>
        <w:spacing w:line="480" w:lineRule="auto"/>
        <w:ind w:firstLine="720"/>
        <w:jc w:val="both"/>
      </w:pPr>
      <w:r>
        <w:t xml:space="preserve">Sec.</w:t>
      </w:r>
      <w:r xml:space="preserve">
        <w:t> </w:t>
      </w:r>
      <w:r>
        <w:t xml:space="preserve">352.110.</w:t>
      </w:r>
      <w:r xml:space="preserve">
        <w:t> </w:t>
      </w:r>
      <w:r xml:space="preserve">
        <w:t> </w:t>
      </w:r>
      <w:r>
        <w:t xml:space="preserve">USE OF REVENUE; CERTAIN COUNTIES LOCATED WHOLLY IN EDWARDS AQUIFER AUTHORITY. </w:t>
      </w:r>
      <w:r>
        <w:t xml:space="preserve"> </w:t>
      </w:r>
      <w:r>
        <w:rPr>
          <w:u w:val="single"/>
        </w:rPr>
        <w:t xml:space="preserve">(a)</w:t>
      </w:r>
      <w:r>
        <w:t xml:space="preserve">  A county authorized to impose a tax by Section 352.002(a)(15) may use the revenue from </w:t>
      </w:r>
      <w:r>
        <w:rPr>
          <w:u w:val="single"/>
        </w:rPr>
        <w:t xml:space="preserve">a</w:t>
      </w:r>
      <w:r>
        <w:t xml:space="preserve"> [</w:t>
      </w:r>
      <w:r>
        <w:rPr>
          <w:strike/>
        </w:rPr>
        <w:t xml:space="preserve">the</w:t>
      </w:r>
      <w:r>
        <w:t xml:space="preserve">] tax </w:t>
      </w:r>
      <w:r>
        <w:rPr>
          <w:u w:val="single"/>
        </w:rPr>
        <w:t xml:space="preserve">imposed under this chapter</w:t>
      </w:r>
      <w:r>
        <w:t xml:space="preserve"> [</w:t>
      </w:r>
      <w:r>
        <w:rPr>
          <w:strike/>
        </w:rPr>
        <w:t xml:space="preserve">only as follows</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75 percent of the revenue</w:t>
      </w:r>
      <w:r>
        <w:t xml:space="preserve">] for the promotion of tourism and lodging;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for a convention center facility; and</w:t>
      </w:r>
    </w:p>
    <w:p w:rsidR="003F3435" w:rsidRDefault="0032493E">
      <w:pPr>
        <w:spacing w:line="480" w:lineRule="auto"/>
        <w:ind w:firstLine="1440"/>
        <w:jc w:val="both"/>
      </w:pPr>
      <w:r>
        <w:rPr>
          <w:u w:val="single"/>
        </w:rPr>
        <w:t xml:space="preserve">(3)</w:t>
      </w:r>
      <w:r xml:space="preserve">
        <w:t> </w:t>
      </w:r>
      <w:r xml:space="preserve">
        <w:t> </w:t>
      </w:r>
      <w:r>
        <w:t xml:space="preserve">notwithstanding Section 352.1015, [</w:t>
      </w:r>
      <w:r>
        <w:rPr>
          <w:strike/>
        </w:rPr>
        <w:t xml:space="preserve">25 percent of the revenue</w:t>
      </w:r>
      <w:r>
        <w:t xml:space="preserve">] for:</w:t>
      </w:r>
    </w:p>
    <w:p w:rsidR="003F3435" w:rsidRDefault="0032493E">
      <w:pPr>
        <w:spacing w:line="480" w:lineRule="auto"/>
        <w:ind w:firstLine="2160"/>
        <w:jc w:val="both"/>
      </w:pPr>
      <w:r>
        <w:t xml:space="preserve">(A)</w:t>
      </w:r>
      <w:r xml:space="preserve">
        <w:t> </w:t>
      </w:r>
      <w:r xml:space="preserve">
        <w:t> </w:t>
      </w:r>
      <w:r>
        <w:t xml:space="preserve">the removal of trash and litter in the state-owned rivers and riverbeds located within the boundaries of the county;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provision and maintenance of litter containers on or adjacent to state-owned rivers and riverbeds primarily used by lodging guests and located within the boundaries of the county</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payment of costs associated with a contract with a person for the provision of security personnel for events and activities directly related to tourism activity occurring along and adjacent to state-owned rivers and riverbeds that are primarily used by lodging guests and located within the boundaries of the county</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county to which this section applies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25 percent of the annual revenue from a tax imposed under this chapter for a purpose described by Subsection (a)(3);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18 percent of the annual revenue from a tax imposed under this chapter for the purpose described by Subsection (a)(3)(C);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revenue from a tax imposed under this chapter for costs associated with law enforcement other than those described by Subsection (a)(3)(C).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county to which this section applies uses revenue derived from a tax imposed under this chapter for a purpose described by Subsection (a)(3)(C), the county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amount of annual revenue the county receives from any applicable permit, license, or similar fee collected by the county for the use of county resources that are directly related to the events and activities described by Subsection (a)(3)(C);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apply the revenue described by Subdivision (1) to the cost of providing security staffing for the events and activities described by Subsection (a)(3)(C).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