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88R3856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3057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mental health authority" has the meaning assigned by Section 571.003,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"Serious mental illness" has the meaning assigned by Section 1355.001, Insurance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as a result of a serious mental illness,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relevant medical or mental health information concerning the respondent, including copies of relevant medical or mental health records, if available;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serious mental illness and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medical or mental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serious mental illness and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determining whether the respondent has a serious mental illness, submit to an examination by the local mental health authority or a disinterested expert who is qualified to diagnose, and experienced in diagnosing, mental illness.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an examination described by Article 7B.154(b)(3);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relevant medical or mental health information concerning the respondent;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this chapter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serious mental illness and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receive outpatient mental health services if recommended by the local mental health authority or expert after the authority or expert performs an examination described by Article 7B.154(b)(3);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issued under Subchapter D, Chapter 7B, Code of Criminal Procedure,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 Penal Code,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October 1, 2023,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