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88R12344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Dallas, DeAyala, Frazier,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3067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Garcia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installation and use of tracking equipment and access to certain communications by certain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18B.001(1), Code of Criminal Procedure,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"Authorized peace officer"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sheriff or deputy sheriff;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constable or deputy constable;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marshal or police officer of a municipality;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ranger or officer commissioned by the Public Safety Commission or the director of the department;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investigator of a prosecutor's office;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law enforcement agent of the Texas Alcoholic Beverage Commission;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 law enforcement officer commissioned by the Parks and Wildlife Commission;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an enforcement officer appointed by the inspector general of the Texas Department of Criminal Justice under Section 493.019, Government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an investigator commissioned by the attorney general under Section 402.009, Government Code;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a member of an arson investigating unit commissioned by a municipality, a county, or the state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officer commissioned under Section 37.081, Education Code, or Subchapter E, Chapter 51, Education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