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88R14061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electricity demand response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w:t>
      </w:r>
      <w:r>
        <w:rPr>
          <w:strike/>
        </w:rPr>
        <w:t xml:space="preserve">and</w:t>
      </w:r>
      <w:r>
        <w:t xml:space="preserve">] to providers of energy generated by renewable energy resources</w:t>
      </w:r>
      <w:r>
        <w:rPr>
          <w:u w:val="single"/>
        </w:rPr>
        <w:t xml:space="preserve">, and to participation in demand response programs through demand response providers</w:t>
      </w:r>
      <w:r>
        <w:t xml:space="preserve">;</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and</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39.9056.</w:t>
      </w:r>
      <w:r>
        <w:rPr>
          <w:u w:val="single"/>
        </w:rPr>
        <w:t xml:space="preserve"> </w:t>
      </w:r>
      <w:r>
        <w:rPr>
          <w:u w:val="single"/>
        </w:rPr>
        <w:t xml:space="preserve"> </w:t>
      </w:r>
      <w:r>
        <w:rPr>
          <w:u w:val="single"/>
        </w:rPr>
        <w:t xml:space="preserve">DEMAND RESPONSE IN ERCOT POWER REGION.  (a)  The legislature finds that electricity markets function most efficiently when supply side and demand side resources both contribute to the adequacy of the electric system. The legislature also finds that the ERCOT power region has not yet achieved its potential for demand response, and, therefore, it is the policy of this state to promote the development of demand response to its maximum potential and to eliminate unnecessary barriers to demand response participation.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"Demand response" means changes in electric usage by customers from their normal consumption patterns in response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changes in the price of electricity use over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incentive payments designed to induce lower electricity use at times of high wholesale market prices or when system reliability is jeopardized.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"Demand response provider" means a competitive energy services provider that aggregates customer load reduction capabilities, including reliability demand response capability, and offers those capabilities into an electricity market or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"Reliability demand response" means demand response to be dispatched by an independent system operator or a distribution utility in response to an electric grid reliability issue.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independent organization certified under Section 39.151 for the ERCOT power region to provide the commission not less frequently than December 1 of each odd-numbered year with an analysis of the potential demand response opportunity and penetration in the ERCOT power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development of demand response participation by customers in all customer classes;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 barriers to demand response participation for demand response providers and for customers in all customer classes;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customers in all customer classes have the option to contract for participation in demand response either directly with one or more demand response providers, including retail electric providers, with scheduling entities qualified by the independent system operator, or with a combination of entities consisting of the independent system operator and one or more demand response providers;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and encourage markets, products, programs, or services for reliability demand response and other forms of demand response in wholesale and retail markets;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opportunities for demand response providers and customers to participate in wholesale energy markets and ancillary services markets on a comparable basis with other resources, while accommodating differences in operational capabilities of various customer loads among customer classes, including but not limited to differences related to availability, dispatch notification timelines, curtailment response times, ramp rates, curtailment duration, and times required to return to service following an outage.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as necessary to implement Section 39.9056, Utilities Code, as added by this Act, not later than May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