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best interest of a child in certain suits affecting the parent-child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153.002,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153.002.</w:t>
      </w:r>
      <w:r xml:space="preserve">
        <w:t> </w:t>
      </w:r>
      <w:r xml:space="preserve">
        <w:t> </w:t>
      </w:r>
      <w:r>
        <w:t xml:space="preserve">BEST INTEREST OF CHILD.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best interest of the child shall always be the primary consideration of the court in determining the issues of conservatorship and possession of and access to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between a parent and a non-parent, it is a rebuttable presumption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parent acts in the best interest of the parent's child;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best interest of a child to be in</w:t>
      </w:r>
      <w:r>
        <w:rPr>
          <w:u w:val="single"/>
        </w:rPr>
        <w:t xml:space="preserve"> the care, custody and control of a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156.101, Family Code, is amended by adding a new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to which this chapter applies between a parent and a nonparent, the presumption in Section 153.002(b) applies unless the presumption has been overcome in the most recent final order regarding the child who is the subject of the suit. </w:t>
      </w:r>
      <w:r>
        <w:rPr>
          <w:u w:val="single"/>
        </w:rPr>
        <w:t xml:space="preserve"> </w:t>
      </w:r>
      <w:r>
        <w:rPr>
          <w:u w:val="single"/>
        </w:rPr>
        <w:t xml:space="preserve">The presumption shall be deemed to have been overcome as to a given parent if, in a prior proceeding and with respect to a child who is the subject of the suit: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sought to be modified expressly stated that the presumption was overcome on the issue currently before 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parent was neither named as nor continued as a managing conservator in the most recent final order and the parent is not being named as a managing conservator in the final order in the current case before the court;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sought to be modified resulted from the parent's voluntary relinquishment of actual care, custody, control, and possession of the child to a nonparent.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an action that is pending on or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