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88R9647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Stucky</w:t>
      </w:r>
      <w:r xml:space="preserve">
        <w:tab wTab="150" tlc="none" cTlc="0"/>
      </w:r>
      <w:r>
        <w:t xml:space="preserve">H.B.</w:t>
      </w:r>
      <w:r xml:space="preserve">
        <w:t> </w:t>
      </w:r>
      <w:r>
        <w:t xml:space="preserve">No.</w:t>
      </w:r>
      <w:r xml:space="preserve">
        <w:t> </w:t>
      </w:r>
      <w:r>
        <w:t xml:space="preserve">3074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an advisory committee to study housing supply and affordability.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HH, Chapter 2306, Government Code, is amended by adding Section 2306.806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2306.806.</w:t>
      </w:r>
      <w:r>
        <w:rPr>
          <w:u w:val="single"/>
        </w:rPr>
        <w:t xml:space="preserve"> </w:t>
      </w:r>
      <w:r>
        <w:rPr>
          <w:u w:val="single"/>
        </w:rPr>
        <w:t xml:space="preserve"> </w:t>
      </w:r>
      <w:r>
        <w:rPr>
          <w:u w:val="single"/>
        </w:rPr>
        <w:t xml:space="preserve">ADVISORY COMMITTEE TO STUDY HOUSING SUPPLY AND AFFORDABILITY. </w:t>
      </w:r>
      <w:r>
        <w:rPr>
          <w:u w:val="single"/>
        </w:rPr>
        <w:t xml:space="preserve"> </w:t>
      </w:r>
      <w:r>
        <w:rPr>
          <w:u w:val="single"/>
        </w:rPr>
        <w:t xml:space="preserve">(a)  In this section, "political subdivision" means a county or municipality.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advisory committee is established to conduct a decennial study on housing supply and affordability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each study conducted under this section, the advisory committee is composed of the following 15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two state senators appointed by the lieutenant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state representatives appointed by the speaker of the house of representatives;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director or the director's designee;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two individuals appointed by the speaker of the house of representatives who represent the home building industry, one of whom must represent builders of rental housing and one of whom must represent housing built for sale;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two individuals appointed by the lieutenant governor who represent a political subdivision or a statewide organization that represents political subdivisions;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two academic professionals who study housing supply constraints, one of whom is appointed by the lieutenant governor and one of whom is appointed by the speaker of the house of representatives;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one individual appointed by the speaker of the house of representatives who represents a trade association consisting of members who are licensed real estate sales agents;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one individual appointed by the lieutenant governor who represents a statewide nonprofit housing advocacy group;</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one individual appointed by the speaker of the house of representatives who represents a trade association consisting of members who own, build, or operate extensively in the home building industry;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one individual appointed by the lieutenant governor who represents a trade association consisting of members who own, build, or operate extensively, as determined by the lieutenant governor, in the apartment industry.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one year preceding the date on which a decennial report is required to be submitted under Subsection (j), the appropriate appointing authorities under Subsection (c) shall appoint the members to the advisory committee in the manner required by that subsection.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advisory committee member serves in that position only for the study for which the member was appointed, and the member's term expires after the applicable report is submitted under Subsection (j).</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advisory committee member is not entitled to compensation or reimbursement for expenses incurred in carrying out advisory committee duties.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For each study conducted under this section, the lieutenant governor and the speaker of the house of representatives shall each designate one member appointed under Subsection (c)(1) or (c)(2), as applicable, to serve as co-chairs of the advisory committee.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Each advisory committee shall meet at the call of the co-chairs appointed under Subsection (g).</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In conducting the study under this section, the advisory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evaluate existing data sources and develop new data on improving housing supply and affordability;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review processes of political subdivisions that permit new housing developments;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evaluate the rate at which political subdivisions approve new housing developments by right;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evaluate the timelines by which political subdivisions approve new housing developments, factoring in any pre-submission requirements;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evaluate impact and permitting fees for new housing developments;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identify the number of each particular type of new housing development, aggregated and disaggregated by the permitting political subdivision and development type, including accessory dwelling units, small-lot homes, townhomes, mobile homes, and below market rate housing;</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identify state grants from any source that may be used to reward political subdivisions with rules that support abundant, relatively low-cost housing construction;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develop methods to identify and award grants to political subdivisions based on housing market outcomes or housing policies, which may require the political subdivision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demonstrate that the political subdivision permits new housing developments at a rate that is in the top half of political subdivisions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demonstrate that the political subdivision permits new housing developments at a rate that is in the top half of political subdivisions in this state for relatively low-cost housing, including multifamily housing, manufactured homes, townhomes on less than 4,000 square feet of land per unit, and accessory dwelling units;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zone in a manner that ensures a sufficient housing supply is created based on market demand;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evaluate a political subdivision's use of general obligation bond proceeds to engage in affordable housing-related projects;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evaluate the efficacy of the owning and operating of employee housing by political subdivisions.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For each study conducted under this section, the advisory committee</w:t>
      </w:r>
      <w:r>
        <w:rPr>
          <w:u w:val="single"/>
        </w:rPr>
        <w:t xml:space="preserve"> </w:t>
      </w:r>
      <w:r>
        <w:rPr>
          <w:u w:val="single"/>
        </w:rPr>
        <w:t xml:space="preserve">shall prepare and submit to the legislature a written report that summarizes the results of the study conducted under this section.  The report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specific legislative and funding recommendations to improve housing supply and affordability issues in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recommend policy changes at the state and local level to facilitate data collection on and improve housing supply and affordability issues in this state.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advisory committee may accept gifts, grants, and donations from any source to carry out the committee's duties under this section.</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Not later than September 1, 2024, and every 10 years thereafter, the advisory committee shall submit the report required under Subsection (j).</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appropriate appointing authorities shall make the first appointments to the advisory committee as required by Section 2306.806(c),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3074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