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88R13454 MZM-F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Hayes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municipality to annex area qualified for agricultural or wildlife management use or as timberland.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43.016(b),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may not annex an area to which this section applies </w:t>
      </w:r>
      <w:r>
        <w:rPr>
          <w:u w:val="single"/>
        </w:rPr>
        <w:t xml:space="preserve">without the written consent of each owner of the area being annexed</w:t>
      </w:r>
      <w:r>
        <w:t xml:space="preserve"> [</w:t>
      </w:r>
      <w:r>
        <w:rPr>
          <w:strike/>
        </w:rPr>
        <w:t xml:space="preserve">unless: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(1)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municipality offers to make a development agreement with the landowner under Section 212.172 that would: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guarantee the continuation of the extraterritorial status of the area;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authorize the enforcement of all regulations and planning authority of the municipality that do not interfere with the use of the area for agriculture, wildlife management, or timber;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landowner declines to make the agreement described by Subdivision (1)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43.016(c), (d), and (e), Local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