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88R12294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maintain a sewer utility.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562.015,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562.015.</w:t>
      </w:r>
      <w:r xml:space="preserve">
        <w:t> </w:t>
      </w:r>
      <w:r xml:space="preserve">
        <w:t> </w:t>
      </w:r>
      <w:r>
        <w:t xml:space="preserve">COUNTY WATER AND SEWER UTILITY. </w:t>
      </w:r>
      <w:r>
        <w:rPr>
          <w:u w:val="single"/>
        </w:rPr>
        <w:t xml:space="preserve">(a)</w:t>
      </w:r>
      <w:r>
        <w:t xml:space="preserve"> An affected county, as defined by Section 16.341, Water Code, may own, operate, or maintain a water or sewer utility in the same manner as a municipality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county may own, operate, or maintain a sewer utility in the unincorporated area of the county in the same manner as a municipality under Chapter 552. The county must comply with all provisions of Chapter 13, Water Code, that apply to an affected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