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88R760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identification cards issued by health maintenance organizations and preferred provider organizations.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843.209,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843.209.</w:t>
      </w:r>
      <w:r xml:space="preserve">
        <w:t> </w:t>
      </w:r>
      <w:r xml:space="preserve">
        <w:t> </w:t>
      </w:r>
      <w:r>
        <w:t xml:space="preserve">IDENTIFICATION CARD.  </w:t>
      </w:r>
      <w:r>
        <w:rPr>
          <w:u w:val="single"/>
        </w:rPr>
        <w:t xml:space="preserve">(a)</w:t>
      </w:r>
      <w:r>
        <w:t xml:space="preserve">  An identification card or other similar document issued by a health maintenance organization to an enrollee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indicate that the health maintenance organization is regulated under this code and subject to the provisions of Subchapter J;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display: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first date on which the enrollee became enrolled;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toll-free number a physician or provider may use to obtain that date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display the acronym "HMO" in the location of the health maintenance organization's choice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identification card or other similar document that bears the acronym "HMO" as required by Subsection (a) indicates that health benefit coverage for health care services provided by a participating physician or provider does not ensure the enrollee has access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care services at a discounted rate if the services are provided by a physician or provider who is not included in the health maintenance organization delivery network;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fee discounts available under the health maintenance organization delivery network.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1301.162,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1301.162.</w:t>
      </w:r>
      <w:r xml:space="preserve">
        <w:t> </w:t>
      </w:r>
      <w:r xml:space="preserve">
        <w:t> </w:t>
      </w:r>
      <w:r>
        <w:t xml:space="preserve">IDENTIFICATION CARD.  </w:t>
      </w:r>
      <w:r>
        <w:rPr>
          <w:u w:val="single"/>
        </w:rPr>
        <w:t xml:space="preserve">(a)</w:t>
      </w:r>
      <w:r>
        <w:t xml:space="preserve">  An identification card or other similar document issued by an insurer regulated by this code and subject to this chapter to an individual insured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display: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first date on which the individual became insured under the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a toll-free number a physician or health care provider may use to obtain that date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display the acronym "PPO" in the location of the insurer's choice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identification card or other similar document that bears the acronym "PPO" as required by Subsection (a) indicates that health benefit coverage for medical care or health care services provided by a preferred provider does not ensure the insured has access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medical care or health care services at a discounted rate if the services are provided by an out-of-network provider;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fee discounts available under the provider network.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843.209 and 1301.162, Insurance Code, as amended by this Act, apply only to an identification card or other similar document issued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