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3094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eligibility for the school safety allotment under the public school finance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48.115(a), Education Code, is amended to read as follows:</w:t>
      </w:r>
    </w:p>
    <w:p w:rsidR="003F3435" w:rsidRDefault="0032493E">
      <w:pPr>
        <w:spacing w:line="480" w:lineRule="auto"/>
        <w:ind w:firstLine="720"/>
        <w:jc w:val="both"/>
      </w:pPr>
      <w:r>
        <w:t xml:space="preserve">(a)</w:t>
      </w:r>
      <w:r xml:space="preserve">
        <w:t> </w:t>
      </w:r>
      <w:r xml:space="preserve">
        <w:t> </w:t>
      </w:r>
      <w:r>
        <w:t xml:space="preserve">From funds appropriated for that purpose, the commissioner shall provide to </w:t>
      </w:r>
      <w:r>
        <w:rPr>
          <w:u w:val="single"/>
        </w:rPr>
        <w:t xml:space="preserve">an eligible</w:t>
      </w:r>
      <w:r>
        <w:t xml:space="preserve"> [a] school district an annual allotment in the amount provided by appropriation for each student in average daily attendance.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to receive an allotment under this section, a school district must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during regular school hours at least one security officer armed with a firearm is present at each district campus.  For purposes of this subsection, a security officer must be: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district peace officer;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school resource officer;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commissioned peace officer employed as security personnel under Section 37.081; and</w:t>
      </w:r>
    </w:p>
    <w:p w:rsidR="003F3435" w:rsidRDefault="0032493E">
      <w:pPr>
        <w:spacing w:line="480" w:lineRule="auto"/>
        <w:ind w:firstLine="1440"/>
        <w:jc w:val="both"/>
      </w:pPr>
      <w:r>
        <w:t xml:space="preserve">(2)</w:t>
      </w:r>
      <w:r xml:space="preserve">
        <w:t> </w:t>
      </w:r>
      <w:r xml:space="preserve">
        <w:t> </w:t>
      </w:r>
      <w:r>
        <w:rPr>
          <w:u w:val="single"/>
        </w:rPr>
        <w:t xml:space="preserve">at least one school marshal, school resource officer, commissioned peace officer or school district peace officer, armed with a firearm and who has at minimum received training comparable to section 1701.260(c), Occupations Code, is appointed, assigned, or employed for every 200 enrolled students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this Act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