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88R19021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 Bonnen, Morrison,</w:t>
      </w:r>
      <w:r xml:space="preserve">
        <w:tab wTab="150" tlc="none" cTlc="0"/>
      </w:r>
      <w:r>
        <w:t xml:space="preserve">H.B.</w:t>
      </w:r>
      <w:r xml:space="preserve">
        <w:t> </w:t>
      </w:r>
      <w:r>
        <w:t xml:space="preserve">No.</w:t>
      </w:r>
      <w:r xml:space="preserve">
        <w:t> </w:t>
      </w:r>
      <w:r>
        <w:t xml:space="preserve">3097</w:t>
      </w:r>
    </w:p>
    <w:p w:rsidR="003F3435" w:rsidRDefault="0032493E">
      <w:pPr>
        <w:jc w:val="both"/>
      </w:pPr>
      <w:r xml:space="preserve">
        <w:t> </w:t>
      </w:r>
      <w:r xml:space="preserve">
        <w:t> </w:t>
      </w:r>
      <w:r xml:space="preserve">
        <w:t> </w:t>
      </w:r>
      <w:r xml:space="preserve">
        <w:t> </w:t>
      </w:r>
      <w:r xml:space="preserve">
        <w:t> </w:t>
      </w:r>
      <w:r>
        <w:t xml:space="preserve">Thompson of Brazoria, Manuel,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anticipation notes or other obligations by issuers located along the Gulf Coast in an emergency.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1431.015(b),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w:t>
      </w:r>
      <w:r>
        <w:rPr>
          <w:u w:val="single"/>
        </w:rPr>
        <w:t xml:space="preserve">or a rating requirement prescribed by Chapter 1371</w:t>
      </w:r>
      <w:r>
        <w:t xml:space="preserve">, an issuer located within 70 miles of the Gulf of Mexico or of a bay or inlet of the gulf may authorize the issuance of an anticipation note or other obligation in the event of an emergency. </w:t>
      </w:r>
      <w:r>
        <w:t xml:space="preserve"> </w:t>
      </w:r>
      <w:r>
        <w:rPr>
          <w:u w:val="single"/>
        </w:rPr>
        <w:t xml:space="preserve">An anticipation note or other obligation issued under this section is an obligation under Chapter 1371, but is not required to be rated as required by that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anticipation note or obligation issued on or after the effective date of this Act. </w:t>
      </w:r>
      <w:r>
        <w:t xml:space="preserve"> </w:t>
      </w:r>
      <w:r>
        <w:t xml:space="preserve">A note or obligation issued before the effective date of this Act is governed by the law in effect on the date the note or obligation was issued,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