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Spiller</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3099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Transportation; May</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3099</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 portion of U.S. Highway 380 in Wise and Jack Counties as the Lost Battalion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LOST BATTALION MEMORIAL HIGHWAY.  (a)  The portion of U.S. Highway 380 in Wise and Jack Counties between its intersection with U.S. Highway 281 and its intersection with County Road 3001 is designated as the Lost Battalion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Lost Battalion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