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hydrogen infrastructure and vehicle grant program under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Texas hydrogen infrastructure and vehicle grant program established under Subchapter 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386.252(a),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t xml:space="preserve">three percent may be used for the new technology implementation grant program under Chapter 391, from which at least $1 million will be set aside for electricity storage projects related to renewable energy;</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t xml:space="preserve">10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393,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$16 million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t xml:space="preserve">five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$216,000 may be used by the commission to contract with the Energy Systems Laboratory at the Texas A&amp;M Engineering Experiment Station annually for the development and annual computation of creditable statewide emissions reductions obtained through wind and other renewable energy resources for the state implementation plan;</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not more than $8 million may be used for the Texas hydrogen infrastructure and vehicle grant program established under Subchapter G; and</w:t>
      </w:r>
    </w:p>
    <w:p w:rsidR="003F3435" w:rsidRDefault="0032493E">
      <w:pPr>
        <w:spacing w:line="480" w:lineRule="auto"/>
        <w:ind w:firstLine="1440"/>
        <w:jc w:val="both"/>
      </w:pPr>
      <w:r>
        <w:rPr>
          <w:u w:val="single"/>
        </w:rPr>
        <w:t xml:space="preserve">(15)</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386, Health and Safety Code, is amended by adding Subchapter G to read as follows:</w:t>
      </w:r>
    </w:p>
    <w:p w:rsidR="003F3435" w:rsidRDefault="0032493E">
      <w:pPr>
        <w:spacing w:line="480" w:lineRule="auto"/>
        <w:jc w:val="center"/>
      </w:pPr>
      <w:r>
        <w:rPr>
          <w:u w:val="single"/>
        </w:rPr>
        <w:t xml:space="preserve">SUBCHAPTER G.  TEXAS HYDROGEN INFRASTRUCTURE AND VEHICLE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"Hydrogen vehicle" means a motor vehicle that uses hydrogen to operate the vehicle, including through the use of hydrogen fuel cells or an internal combustion engine that runs on hydrogen.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hydrogen infrastructure and vehicle grant program established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386.302.</w:t>
      </w:r>
      <w:r>
        <w:rPr>
          <w:u w:val="single"/>
        </w:rPr>
        <w:t xml:space="preserve"> </w:t>
      </w:r>
      <w:r>
        <w:rPr>
          <w:u w:val="single"/>
        </w:rPr>
        <w:t xml:space="preserve"> </w:t>
      </w:r>
      <w:r>
        <w:rPr>
          <w:u w:val="single"/>
        </w:rPr>
        <w:t xml:space="preserve">PROGRAM.  (a)  The commission shall establish and administer the Texas hydrogen infrastructure and vehicle grant program to encourage the adoption of hydrogen infrastructure and vehicles.  Under the program, the commission shall provide funding for eligible projects to offset the incremental cost of projects that reduce emissions of oxides of nitrogen from high-emitting sources in the state.  The commission shall determine the eligibility of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implementation of hydrogen infrastructure projects;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lease of on-road or non-road hydrogen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replacement of on-road or non-road vehicles with newer on-road or non-road hydrogen vehicles;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of hydrogen fuel.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project listed in Subsection (b) is not eligible if it is required by any state or federal law, rule or regulation, memorandum of agreement, or other legally binding document.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otherwise qualified project, regardless of the fact that the state implementation plan assumes that the change in equipment, vehicles,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hydrogen vehicle or facility required only by local law or regulation or by corporate or controlling board policy of a public or private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386.303.</w:t>
      </w:r>
      <w:r>
        <w:rPr>
          <w:u w:val="single"/>
        </w:rPr>
        <w:t xml:space="preserve"> </w:t>
      </w:r>
      <w:r>
        <w:rPr>
          <w:u w:val="single"/>
        </w:rPr>
        <w:t xml:space="preserve"> </w:t>
      </w:r>
      <w:r>
        <w:rPr>
          <w:u w:val="single"/>
        </w:rPr>
        <w:t xml:space="preserve">APPLICATION PACKAGE.  (a)  The commission shall develop a simple, standardized application package for grants under this subchapter.  The package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description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projects that are eligible for available funding;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selection criteria and evaluation process;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documentation;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a person or office to contact for more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example of the contract that an applicant will be required to execute before receiv</w:t>
      </w:r>
      <w:r>
        <w:rPr>
          <w:u w:val="single"/>
        </w:rPr>
        <w:t xml:space="preserve">ing a grant;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useful to inform the applicant and expedite the application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386.304.</w:t>
      </w:r>
      <w:r>
        <w:rPr>
          <w:u w:val="single"/>
        </w:rPr>
        <w:t xml:space="preserve"> </w:t>
      </w:r>
      <w:r>
        <w:rPr>
          <w:u w:val="single"/>
        </w:rPr>
        <w:t xml:space="preserve"> </w:t>
      </w:r>
      <w:r>
        <w:rPr>
          <w:u w:val="single"/>
        </w:rPr>
        <w:t xml:space="preserve">APPLICATION REVIEW PROCEDURES.  (a)  The commission shall review an application for a grant for a project authorized under this subchapter.  If the commission determines that an application is incomplete, the commission shall notify the applicant with an explanation of what is missing from the application.  The commission shall evaluate the completed application according to the appropriate project criteria.  Subject to available funding, the commission shall make a final determination on an application as soon as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every effort to expedite the application review process and to award grants to qualified projects in a timely manner.  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  The contract must incorporate provisions for recapturing grant money in proportion to any loss of emissions reductions compared with the volume of emissions reductions that was projected in awarding the grant.  Grant money recaptured under the contract provision shall be deposited in the fund and reallocated for other projects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