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88R10134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Dorazio</w:t>
      </w:r>
      <w:r xml:space="preserve">
        <w:tab wTab="150" tlc="none" cTlc="0"/>
      </w:r>
      <w:r>
        <w:t xml:space="preserve">H.B.</w:t>
      </w:r>
      <w:r xml:space="preserve">
        <w:t> </w:t>
      </w:r>
      <w:r>
        <w:t xml:space="preserve">No.</w:t>
      </w:r>
      <w:r xml:space="preserve">
        <w:t> </w:t>
      </w:r>
      <w:r>
        <w:t xml:space="preserve">3101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professional charter academies.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purpose of this Act is to increase efficiency by providing highly qualified education professionals an opportunity to:</w:t>
      </w:r>
    </w:p>
    <w:p w:rsidR="003F3435" w:rsidRDefault="0032493E">
      <w:pPr>
        <w:spacing w:line="480" w:lineRule="auto"/>
        <w:ind w:firstLine="1440"/>
        <w:jc w:val="both"/>
      </w:pPr>
      <w:r>
        <w:t xml:space="preserve">(1)</w:t>
      </w:r>
      <w:r xml:space="preserve">
        <w:t> </w:t>
      </w:r>
      <w:r xml:space="preserve">
        <w:t> </w:t>
      </w:r>
      <w:r>
        <w:t xml:space="preserve">operate an educational institution and function independently;</w:t>
      </w:r>
    </w:p>
    <w:p w:rsidR="003F3435" w:rsidRDefault="0032493E">
      <w:pPr>
        <w:spacing w:line="480" w:lineRule="auto"/>
        <w:ind w:firstLine="1440"/>
        <w:jc w:val="both"/>
      </w:pPr>
      <w:r>
        <w:t xml:space="preserve">(2)</w:t>
      </w:r>
      <w:r xml:space="preserve">
        <w:t> </w:t>
      </w:r>
      <w:r xml:space="preserve">
        <w:t> </w:t>
      </w:r>
      <w:r>
        <w:t xml:space="preserve">have access to property rights and the rewards inherent in those rights that are similar to those rights and rewards available to other professionals; and</w:t>
      </w:r>
    </w:p>
    <w:p w:rsidR="003F3435" w:rsidRDefault="0032493E">
      <w:pPr>
        <w:spacing w:line="480" w:lineRule="auto"/>
        <w:ind w:firstLine="1440"/>
        <w:jc w:val="both"/>
      </w:pPr>
      <w:r>
        <w:t xml:space="preserve">(3)</w:t>
      </w:r>
      <w:r xml:space="preserve">
        <w:t> </w:t>
      </w:r>
      <w:r xml:space="preserve">
        <w:t> </w:t>
      </w:r>
      <w:r>
        <w:t xml:space="preserve">innovate and create educational programs tailored specifically to the students enrolled in a professional charter academy.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 Education Code, is amended by adding Subchapter F to read as follows:</w:t>
      </w:r>
    </w:p>
    <w:p w:rsidR="003F3435" w:rsidRDefault="0032493E">
      <w:pPr>
        <w:spacing w:line="480" w:lineRule="auto"/>
        <w:jc w:val="center"/>
      </w:pPr>
      <w:r>
        <w:rPr>
          <w:u w:val="single"/>
        </w:rPr>
        <w:t xml:space="preserve">SUBCHAPTER F.  PROFESSIONAL CHARTER ACADEMY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12.201.</w:t>
      </w:r>
      <w:r>
        <w:rPr>
          <w:u w:val="single"/>
        </w:rPr>
        <w:t xml:space="preserve"> </w:t>
      </w:r>
      <w:r>
        <w:rPr>
          <w:u w:val="single"/>
        </w:rPr>
        <w:t xml:space="preserve"> </w:t>
      </w:r>
      <w:r>
        <w:rPr>
          <w:u w:val="single"/>
        </w:rPr>
        <w:t xml:space="preserve">PROFESSIONAL CHARTER ACADEMY PROGRAM; RULES.  (a)  The comptroller, in coordination with the commissioner, shall establish a professional charter academy program under which eligible education professionals are authorized to create and operate a professional charter academy in accordance with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in coordination with the commissioner, shall adopt rules to administer this subchapter.  The rules must include provisions relating to prevention of fraud and abuse in financial transactions under the professional charter academy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12.202.</w:t>
      </w:r>
      <w:r>
        <w:rPr>
          <w:u w:val="single"/>
        </w:rPr>
        <w:t xml:space="preserve"> </w:t>
      </w:r>
      <w:r>
        <w:rPr>
          <w:u w:val="single"/>
        </w:rPr>
        <w:t xml:space="preserve"> </w:t>
      </w:r>
      <w:r>
        <w:rPr>
          <w:u w:val="single"/>
        </w:rPr>
        <w:t xml:space="preserve">ELIGIBLE EDUCATION PROFESSIONALS.  (a)  To be eligible to operate a professional charter academy under this subchapter, an education professional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at least three years of classroom teaching experience;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been rated as proficient or higher for at least three years under the evaluation system used to evaluate the professional;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served as the principal of a school for at least three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professional charter academy must be operated by at least one eligible education professional and be formed as a corporation governed under Title 2, Business Organizations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12.203.</w:t>
      </w:r>
      <w:r>
        <w:rPr>
          <w:u w:val="single"/>
        </w:rPr>
        <w:t xml:space="preserve"> </w:t>
      </w:r>
      <w:r>
        <w:rPr>
          <w:u w:val="single"/>
        </w:rPr>
        <w:t xml:space="preserve"> </w:t>
      </w:r>
      <w:r>
        <w:rPr>
          <w:u w:val="single"/>
        </w:rPr>
        <w:t xml:space="preserve">APPLICATION OF LAWS.  A professional charter academy is subject only to federal and state laws applicable to schools accredited by an organization that is monitored and approved by the Texas Private School Accreditation Commission.  A professional charter academy is not subject to state law applicable to charter schools authorized by law other than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12.204.</w:t>
      </w:r>
      <w:r>
        <w:rPr>
          <w:u w:val="single"/>
        </w:rPr>
        <w:t xml:space="preserve"> </w:t>
      </w:r>
      <w:r>
        <w:rPr>
          <w:u w:val="single"/>
        </w:rPr>
        <w:t xml:space="preserve"> </w:t>
      </w:r>
      <w:r>
        <w:rPr>
          <w:u w:val="single"/>
        </w:rPr>
        <w:t xml:space="preserve">INITIAL FUNDING.  An education professional eligible under Section 12.202 is responsible for securing initial capital from sources other than public funding for the establishment of a professional charter academy.  The comptroller may not provide any public or state funding to an eligible education professional operating a professional charter academy during the first 12 months of operation of the academy.</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12.205.</w:t>
      </w:r>
      <w:r>
        <w:rPr>
          <w:u w:val="single"/>
        </w:rPr>
        <w:t xml:space="preserve"> </w:t>
      </w:r>
      <w:r>
        <w:rPr>
          <w:u w:val="single"/>
        </w:rPr>
        <w:t xml:space="preserve"> </w:t>
      </w:r>
      <w:r>
        <w:rPr>
          <w:u w:val="single"/>
        </w:rPr>
        <w:t xml:space="preserve">GRANTING OF CHARTER.  The comptroller shall grant a charter to operate a professional charter academy to an education professional eligible under Section 12.202 if the professional provides to the comptroller: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viable business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proof of financial ability to fund 12 months of the academy's anticipated operation expenses, presented in the form of a bank letter of credit or other acceptable financial guarantee;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demonstration of parental and community interest in the establishment of a professional charter academy.</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12.206.</w:t>
      </w:r>
      <w:r>
        <w:rPr>
          <w:u w:val="single"/>
        </w:rPr>
        <w:t xml:space="preserve"> </w:t>
      </w:r>
      <w:r>
        <w:rPr>
          <w:u w:val="single"/>
        </w:rPr>
        <w:t xml:space="preserve"> </w:t>
      </w:r>
      <w:r>
        <w:rPr>
          <w:u w:val="single"/>
        </w:rPr>
        <w:t xml:space="preserve">PUBLIC FUNDING.  (a)  Funding under this section may only be provided for a school year after the first full school year in which a professional charter academy is in operation.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school year after the first school year in which a professional charter academy is in operation, the comptroller shall provide to a student who will attend the academy or the student's parent an amount equal to the average state funding per student received by open-enrollment charter schools under Subchapter D during the preceding school year.  The student or the student's parent may assign the funding received under this section to the academy the student attends.  The comptroller may adjust the amount provided in accordance with the student's period of actual enrollment in the academy during the school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provide the funding under Subsection (b) to the student, to the student's parent, or, if the funding has been assigned to the professional charter academy, to the academy, not later than the 90th day after the date the comptroller receives enrollment data reports from the academy at the end of each school year for which the academy is eligible for funding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Federal funds and money from the available school fund may not be used to make payments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12.207.</w:t>
      </w:r>
      <w:r>
        <w:rPr>
          <w:u w:val="single"/>
        </w:rPr>
        <w:t xml:space="preserve"> </w:t>
      </w:r>
      <w:r>
        <w:rPr>
          <w:u w:val="single"/>
        </w:rPr>
        <w:t xml:space="preserve"> </w:t>
      </w:r>
      <w:r>
        <w:rPr>
          <w:u w:val="single"/>
        </w:rPr>
        <w:t xml:space="preserve">ADMINISTRATIVE COSTS.  (a)  Notwithstanding Section 12.206(b), the comptroller may deduct a percentage of each payment provided under that subsection to cover the comptroller's costs in implementing and administering the program.  The percentage deducted from each payment may not exceed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 rata cost of the program in the applicable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percent of the amount of each payment.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2033.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constitutionality and other validity under the state or federal constitution of all or any part of Subchapter F, Chapter 12, Education Code, as added by this Act, may be determined in an action for declaratory judgment in a district court in Travis County under Chapter 37, Civil Practice and Remedies Code, except that this section does not authorize an award of attorney's fees against this state and Section 37.009, Civil Practice and Remedies Code, does not apply to an action filed under this section.</w:t>
      </w:r>
    </w:p>
    <w:p w:rsidR="003F3435" w:rsidRDefault="0032493E">
      <w:pPr>
        <w:spacing w:line="480" w:lineRule="auto"/>
        <w:ind w:firstLine="720"/>
        <w:jc w:val="both"/>
      </w:pPr>
      <w:r>
        <w:t xml:space="preserve">(b)</w:t>
      </w:r>
      <w:r xml:space="preserve">
        <w:t> </w:t>
      </w:r>
      <w:r xml:space="preserve">
        <w:t> </w:t>
      </w:r>
      <w:r>
        <w:t xml:space="preserve">An appeal of a declaratory judgment or order, however characterized, of a district court, including an appeal of the judgment of an appellate court, holding or otherwise determining that all or any part of Subchapter F, Chapter 12, Education Code, as added by this Act, is constitutional or unconstitutional, or otherwise valid or invalid, under the state or federal constitution is an accelerated appeal.</w:t>
      </w:r>
    </w:p>
    <w:p w:rsidR="003F3435" w:rsidRDefault="0032493E">
      <w:pPr>
        <w:spacing w:line="480" w:lineRule="auto"/>
        <w:ind w:firstLine="720"/>
        <w:jc w:val="both"/>
      </w:pPr>
      <w:r>
        <w:t xml:space="preserve">(c)</w:t>
      </w:r>
      <w:r xml:space="preserve">
        <w:t> </w:t>
      </w:r>
      <w:r xml:space="preserve">
        <w:t> </w:t>
      </w:r>
      <w:r>
        <w:t xml:space="preserve">If the judgment or order is interlocutory, an interlocutory appeal may be taken from the judgment or order and is an accelerated appeal.</w:t>
      </w:r>
    </w:p>
    <w:p w:rsidR="003F3435" w:rsidRDefault="0032493E">
      <w:pPr>
        <w:spacing w:line="480" w:lineRule="auto"/>
        <w:ind w:firstLine="720"/>
        <w:jc w:val="both"/>
      </w:pPr>
      <w:r>
        <w:t xml:space="preserve">(d)</w:t>
      </w:r>
      <w:r xml:space="preserve">
        <w:t> </w:t>
      </w:r>
      <w:r xml:space="preserve">
        <w:t> </w:t>
      </w:r>
      <w:r>
        <w:t xml:space="preserve">A district court in Travis County may grant or deny a temporary or otherwise interlocutory injunction or a permanent injunction on the grounds of the constitutionality or unconstitutionality, or other validity or invalidity, under the state or federal constitution of all or any part of Subchapter F, Chapter 12, Education Code, as added by this Act.</w:t>
      </w:r>
    </w:p>
    <w:p w:rsidR="003F3435" w:rsidRDefault="0032493E">
      <w:pPr>
        <w:spacing w:line="480" w:lineRule="auto"/>
        <w:ind w:firstLine="720"/>
        <w:jc w:val="both"/>
      </w:pPr>
      <w:r>
        <w:t xml:space="preserve">(e)</w:t>
      </w:r>
      <w:r xml:space="preserve">
        <w:t> </w:t>
      </w:r>
      <w:r xml:space="preserve">
        <w:t> </w:t>
      </w:r>
      <w:r>
        <w:t xml:space="preserve">There is a direct appeal to the Texas Supreme Court from an order, however characterized, of a trial court granting or denying a temporary or otherwise interlocutory injunction or a permanent injunction on the grounds of the constitutionality or unconstitutionality, or other validity or invalidity, under the state or federal constitution of all or any part of Subchapter F, Chapter 12, Education Code, as added by this Act.</w:t>
      </w:r>
    </w:p>
    <w:p w:rsidR="003F3435" w:rsidRDefault="0032493E">
      <w:pPr>
        <w:spacing w:line="480" w:lineRule="auto"/>
        <w:ind w:firstLine="720"/>
        <w:jc w:val="both"/>
      </w:pPr>
      <w:r>
        <w:t xml:space="preserve">(f)</w:t>
      </w:r>
      <w:r xml:space="preserve">
        <w:t> </w:t>
      </w:r>
      <w:r xml:space="preserve">
        <w:t> </w:t>
      </w:r>
      <w:r>
        <w:t xml:space="preserve">The direct appeal is an accelerated appeal.</w:t>
      </w:r>
    </w:p>
    <w:p w:rsidR="003F3435" w:rsidRDefault="0032493E">
      <w:pPr>
        <w:spacing w:line="480" w:lineRule="auto"/>
        <w:ind w:firstLine="720"/>
        <w:jc w:val="both"/>
      </w:pPr>
      <w:r>
        <w:t xml:space="preserve">(g)</w:t>
      </w:r>
      <w:r xml:space="preserve">
        <w:t> </w:t>
      </w:r>
      <w:r xml:space="preserve">
        <w:t> </w:t>
      </w:r>
      <w:r>
        <w:t xml:space="preserve">This section exercises the authority granted by Section 3-b, Article V, Texas Constitution.</w:t>
      </w:r>
    </w:p>
    <w:p w:rsidR="003F3435" w:rsidRDefault="0032493E">
      <w:pPr>
        <w:spacing w:line="480" w:lineRule="auto"/>
        <w:ind w:firstLine="720"/>
        <w:jc w:val="both"/>
      </w:pPr>
      <w:r>
        <w:t xml:space="preserve">(h)</w:t>
      </w:r>
      <w:r xml:space="preserve">
        <w:t> </w:t>
      </w:r>
      <w:r xml:space="preserve">
        <w:t> </w:t>
      </w:r>
      <w:r>
        <w:t xml:space="preserve">The filing of a direct appeal under this section will automatically stay any temporary or otherwise interlocutory injunction or permanent injunction granted in accordance with this section pending final determination by the Texas Supreme Court, unless the supreme court makes specific findings that the applicant seeking such injunctive relief has pleaded and proved that:</w:t>
      </w:r>
    </w:p>
    <w:p w:rsidR="003F3435" w:rsidRDefault="0032493E">
      <w:pPr>
        <w:spacing w:line="480" w:lineRule="auto"/>
        <w:ind w:firstLine="1440"/>
        <w:jc w:val="both"/>
      </w:pPr>
      <w:r>
        <w:t xml:space="preserve">(1)</w:t>
      </w:r>
      <w:r xml:space="preserve">
        <w:t> </w:t>
      </w:r>
      <w:r xml:space="preserve">
        <w:t> </w:t>
      </w:r>
      <w:r>
        <w:t xml:space="preserve">the applicant has a probable right to the relief it seeks on final hearing; and</w:t>
      </w:r>
    </w:p>
    <w:p w:rsidR="003F3435" w:rsidRDefault="0032493E">
      <w:pPr>
        <w:spacing w:line="480" w:lineRule="auto"/>
        <w:ind w:firstLine="1440"/>
        <w:jc w:val="both"/>
      </w:pPr>
      <w:r>
        <w:t xml:space="preserve">(2)</w:t>
      </w:r>
      <w:r xml:space="preserve">
        <w:t> </w:t>
      </w:r>
      <w:r xml:space="preserve">
        <w:t> </w:t>
      </w:r>
      <w:r>
        <w:t xml:space="preserve">the applicant will suffer a probable injury that is imminent and irreparable, and that the applicant has no other adequate legal remedy.</w:t>
      </w:r>
    </w:p>
    <w:p w:rsidR="003F3435" w:rsidRDefault="0032493E">
      <w:pPr>
        <w:spacing w:line="480" w:lineRule="auto"/>
        <w:ind w:firstLine="720"/>
        <w:jc w:val="both"/>
      </w:pPr>
      <w:r>
        <w:t xml:space="preserve">(i)</w:t>
      </w:r>
      <w:r xml:space="preserve">
        <w:t> </w:t>
      </w:r>
      <w:r xml:space="preserve">
        <w:t> </w:t>
      </w:r>
      <w:r>
        <w:t xml:space="preserve">An appeal under this section, including an interlocutory, accelerated, or direct appeal, is governed, as applicable, by the Texas Rules of Appellate Procedure, including Rules 25.1(d)(6), 26.1(b), 28.1, 28.3, 32.1(g), 37.3(a)(1), 38.6(a) and (b), 40.1(b), and 49.4.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but not later than October 15, 2023, the comptroller of public accounts, in coordination with the commissioner of education, shall establish the professional charter academy program as required under Subchapter F, Chapter 12, Education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