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88R9709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authority for certain state employees to work at places other than the employees' regular or temporarily assigned places of employment and to earn compensatory time for that work.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658.010,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658.010.</w:t>
      </w:r>
      <w:r xml:space="preserve">
        <w:t> </w:t>
      </w:r>
      <w:r xml:space="preserve">
        <w:t> </w:t>
      </w:r>
      <w:r>
        <w:t xml:space="preserve">PLACE WHERE WORK PERFORMED.  (a)  An employee of a state agency shall, during normal office hours, conduct agency business only at the employee's regular or assigned temporary place of employment unless the employee: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travelling;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receives</w:t>
      </w:r>
      <w:r>
        <w:t xml:space="preserve"> [</w:t>
      </w:r>
      <w:r>
        <w:rPr>
          <w:strike/>
        </w:rPr>
        <w:t xml:space="preserve">received prior written</w:t>
      </w:r>
      <w:r>
        <w:t xml:space="preserve">] authorization from the administrative head of the employing state agency to perform work elsewhere.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employee's personal residence may not be considered the employee's regular or assigned temporary place of employment without [</w:t>
      </w:r>
      <w:r>
        <w:rPr>
          <w:strike/>
        </w:rPr>
        <w:t xml:space="preserve">prior written</w:t>
      </w:r>
      <w:r>
        <w:t xml:space="preserve">] authorization from the administrative head of the employing state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659.018,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