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88R9952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 Leach, Cook,</w:t>
      </w:r>
      <w:r xml:space="preserve">
        <w:tab wTab="150" tlc="none" cTlc="0"/>
      </w:r>
      <w:r>
        <w:t xml:space="preserve">H.B.</w:t>
      </w:r>
      <w:r xml:space="preserve">
        <w:t> </w:t>
      </w:r>
      <w:r>
        <w:t xml:space="preserve">No.</w:t>
      </w:r>
      <w:r xml:space="preserve">
        <w:t> </w:t>
      </w:r>
      <w:r>
        <w:t xml:space="preserve">3115</w:t>
      </w:r>
    </w:p>
    <w:p w:rsidR="003F3435" w:rsidRDefault="0032493E">
      <w:pPr>
        <w:jc w:val="both"/>
      </w:pPr>
      <w:r xml:space="preserve">
        <w:t> </w:t>
      </w:r>
      <w:r xml:space="preserve">
        <w:t> </w:t>
      </w:r>
      <w:r xml:space="preserve">
        <w:t> </w:t>
      </w:r>
      <w:r xml:space="preserve">
        <w:t> </w:t>
      </w:r>
      <w:r xml:space="preserve">
        <w:t> </w:t>
      </w:r>
      <w:r>
        <w:t xml:space="preserve">Harris of Anderson, Canales</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retired or former district court judges for assignment as a visiting judge.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74.055, Government Code, is amended by amending Subsections (c) and (f) and adding Subsection (d)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rPr>
          <w:u w:val="single"/>
        </w:rPr>
        <w:t xml:space="preserve">except as provided by Subsection (d),</w:t>
      </w:r>
      <w:r>
        <w:t xml:space="preserve"> 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(c)(4), a retired or former district court judge is eligible to be named on the list if the retired or former district court judge certifies under oath to the presiding judge, on a form prescribed by the state board of regional judges, that during the 15 years preceding assignment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judge has not been publicly reprimanded or censured by the State Commission on Judicial Conduct;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judge: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judge did resign from office under circumstances described by Paragraph (A), was not publicly reprimanded or censured as a result of the investigation.</w:t>
      </w:r>
    </w:p>
    <w:p w:rsidR="003F3435" w:rsidRDefault="0032493E">
      <w:pPr>
        <w:spacing w:line="480" w:lineRule="auto"/>
        <w:ind w:firstLine="720"/>
        <w:jc w:val="both"/>
      </w:pPr>
      <w:r>
        <w:t xml:space="preserve">(f)</w:t>
      </w:r>
      <w:r xml:space="preserve">
        <w:t> </w:t>
      </w:r>
      <w:r xml:space="preserve">
        <w:t> </w:t>
      </w:r>
      <w:r>
        <w:t xml:space="preserve">A former or retired judge </w:t>
      </w:r>
      <w:r>
        <w:rPr>
          <w:u w:val="single"/>
        </w:rPr>
        <w:t xml:space="preserve">of a statutory probate, statutory county, or appellate court</w:t>
      </w:r>
      <w:r>
        <w:t xml:space="preserve"> is ineligible to be named on the list if the former or retired judge is identified in a public statement issued by the State Commission on Judicial Conduct as having resigned or retired from office in lieu of discipline.  </w:t>
      </w:r>
      <w:r>
        <w:rPr>
          <w:u w:val="single"/>
        </w:rPr>
        <w:t xml:space="preserve">A former or retired district court judge is ineligible to be named on the list if during the 15 years preceding appointment under this section the former or retired judge is identified in a public statement issued by the State Commission on Judicial Conduct as having resigned or retired from office in lieu of discipline.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