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Harris</w:t>
      </w:r>
      <w:r xml:space="preserve">
        <w:tab wTab="150" tlc="none" cTlc="0"/>
      </w:r>
      <w:r>
        <w:t xml:space="preserve">H.B.</w:t>
      </w:r>
      <w:r xml:space="preserve">
        <w:t> </w:t>
      </w:r>
      <w:r>
        <w:t xml:space="preserve">No.</w:t>
      </w:r>
      <w:r xml:space="preserve">
        <w:t> </w:t>
      </w:r>
      <w:r>
        <w:t xml:space="preserve">3118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a security plan for certain alcoholic beverage permit applications.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11, Alcoholic Beverage Code, is amended by adding Section 11.341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11.341.</w:t>
      </w:r>
      <w:r>
        <w:rPr>
          <w:u w:val="single"/>
        </w:rPr>
        <w:t xml:space="preserve"> </w:t>
      </w:r>
      <w:r>
        <w:rPr>
          <w:u w:val="single"/>
        </w:rPr>
        <w:t xml:space="preserve"> </w:t>
      </w:r>
      <w:r>
        <w:rPr>
          <w:u w:val="single"/>
        </w:rPr>
        <w:t xml:space="preserve">REQUIRED SECURITY PLAN.  (a)  An application for an original or renewal permit authorizing the sale of alcoholic beverages for on-premises consumption must include a security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security plan must include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type and location of cameras installed on the premises;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emergency evacuation plan;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on-site security personnel, including the use of security guards or a licensed security service;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information the commission determines necessary.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adopt rules to implement this section, including rules requiring the applicant or permit holder to notify the commission of any updates or changes to the applicant's or permit holder's security plan.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11.341, Alcoholic Beverage Code, as added by this Act, applies to an application for an alcoholic beverage permit filed on or after the effective date of this Act.  An application for an alcoholic beverage permit filed before the effective date of this Act is governed by the law in effect on the date the application is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