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88R24753 KJE-F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3124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3124: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Kuempel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3124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cigarettes, e-cigarettes, and tobacco products on the campus of a public institution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51.91922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51.91922.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CIGARETTE, E-CIGARETTE, OR TOBACCO PRODUCT PROHIBITED.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"Cigarette" has the meaning assigned by Section 154.001, Tax Code.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"E-cigarette" has the meaning assigned by Section 161.081,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"Institution of higher education" has the meaning assigned by Section 61.003.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"Tobacco product" has the meaning assigned by Section 155.001, Tax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may adopt a policy prohibiting the use of a cigarette, e-cigarette, or tobacco product on the grounds of, or in any building located on, the institution's campus.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3124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