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H.B.</w:t>
      </w:r>
      <w:r xml:space="preserve">
        <w:t> </w:t>
      </w:r>
      <w:r>
        <w:t xml:space="preserve">No.</w:t>
      </w:r>
      <w:r xml:space="preserve">
        <w:t> </w:t>
      </w:r>
      <w:r>
        <w:t xml:space="preserve">3124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cigarettes, e-cigarettes, and smokable tobacco products on the campus of a public institution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51.91922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51.91922.</w:t>
      </w:r>
      <w:r>
        <w:rPr>
          <w:u w:val="single"/>
        </w:rPr>
        <w:t xml:space="preserve"> </w:t>
      </w:r>
      <w:r>
        <w:rPr>
          <w:u w:val="single"/>
        </w:rPr>
        <w:t xml:space="preserve"> </w:t>
      </w:r>
      <w:r>
        <w:rPr>
          <w:u w:val="single"/>
        </w:rPr>
        <w:t xml:space="preserve">USE OF CIGARETTE, E-CIGARETTE, OR SMOKABLE TOBACCO PRODUCT PROHIBITED.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"Cigarette" has the meaning assigned by Section 154.001,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"E-cigarette" has the meaning assigned by Section 161.081,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"Tobacco product" has the meaning assigned by Section 155.001,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institution of higher education shall adopt a policy prohibiting the use of a cigarette, e-cigarette, or smokable tobacco product on the grounds of, or in any building located on, the institution's campus.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rPr>
          <w:strike/>
        </w:rPr>
        <w:t xml:space="preserve">As soon as practicable after the effective date of this Act</w:t>
      </w:r>
      <w:r>
        <w:t xml:space="preserve">, </w:t>
      </w:r>
      <w:r>
        <w:rPr>
          <w:u w:val="single"/>
        </w:rPr>
        <w:t xml:space="preserve">Not later than August 1st of 2024,</w:t>
      </w:r>
      <w:r>
        <w:t xml:space="preserve"> each public institution of higher education shall adopt the policy required under Section 51.91922,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