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88R12796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3130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certain occupational licensing information regarding clients of family violence shelter centers, victims of trafficking shelter centers, and sexual assault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552.138(a),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governmental body;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552.138,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current or former client of a family violence shelter center, victims of trafficking shelter center, or sexual assault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previously held, or is an applicant for a license issued by the governmental body;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notifies the governmental body in writing of the person's choice to restrict public access to the information on a form provided by the office of the attorney general or the governmental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office of the attorney general shall prepare the form described by Section 552.138(f)(3), Government Code, as added by this Act, make the form available on the attorney general's website, and notify family violence shelter centers, sexual assault programs, and victims of trafficking shelter centers of the availability and purpose of the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