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3130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protection of certain occupational licensing information regarding clients of family violence shelter centers, victims of trafficking shelter centers, and sexual assault programs and survivors of family violence, domestic violence, and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552.138(a),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governmental body;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552.138,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governmental body may not sell or otherwise release the name, home or business address, place of employment, telephone number, electronic mail address, social security number, date of birth, driver's license or state identification number, passport number, emergency contact information, or numeric identifier of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previously held, or is an applicant for a license issued by the governmental body;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notifies the governmental body on a form provided by the office of the attorney general or the governmental body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current or former client of a family violence shelter center, victims of trafficking shelter center, or sexual assault program or is a survivor of family violence, domestic violence, or sexual assault;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chooses to restrict public access to the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governmental body may redact information described by Subsection (f) from a response to a request for a list or directory of license holders, former license holders, or license applicants without the necessity of requesting a decision from the attorney general under Subchapter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office of the attorney general shall prepare the form described by Section 552.138(f)(2), Government Code, as added by this Act, make the form available on the attorney general's website, and notify family violence shelter centers, victims of trafficking shelter centers, and sexual assault programs of the availability and purpose of the form.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