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88R11481 SCP-D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Guerra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3133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electronic system for occupational licensing transactions administered by the Department of Information Resources.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2054.353(a),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department shall administer a common electronic system using the Internet through which a licensing entity can electronically: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send occupational licenses and other documents to persons regulated by the licensing entity and to the public;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receive applications for occupational licenses and other documents for filing from persons regulated by the licensing entity and from the public, including documents that can be electronically signed if necessary;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receive required payments from persons regulated by the licensing entity and from the public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track the status of a license holder or applicant, including disciplinary information, in a manner that is not accessible to the public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2054.353(d), Government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3133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