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88R20892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3136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3136:</w:t>
      </w: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C.S.H.B.</w:t>
      </w:r>
      <w:r xml:space="preserve">
        <w:t> </w:t>
      </w:r>
      <w:r>
        <w:t xml:space="preserve">No.</w:t>
      </w:r>
      <w:r xml:space="preserve">
        <w:t> </w:t>
      </w:r>
      <w:r>
        <w:t xml:space="preserve">3136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by the Texas Department of Housing and Community Affairs of certain federal forms for purposes of allocating low income housing tax credits;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DD, Chapter 2306, Government Code, is amended by adding Section 2306.67101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2306.67101.</w:t>
      </w:r>
      <w:r>
        <w:rPr>
          <w:u w:val="single"/>
        </w:rPr>
        <w:t xml:space="preserve"> </w:t>
      </w:r>
      <w:r>
        <w:rPr>
          <w:u w:val="single"/>
        </w:rPr>
        <w:t xml:space="preserve"> </w:t>
      </w:r>
      <w:r>
        <w:rPr>
          <w:u w:val="single"/>
        </w:rPr>
        <w:t xml:space="preserve">ISSUANCE OF INTERNAL REVENUE SERVICE FORM 8609; REPORT.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"Documentation packet" means the Internal Revenue Service Form 8609 documentation packet required to receive an allocation of housing tax credits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"Form 8609" means Internal Revenue Service Form 8609, or that form's successor.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120th day after the date a development owner submits to the department an Internal Revenue Service Form 8609 documentation packet under this section, the department shall issue the owner an Internal Revenue Service Form 8609.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documentation packet must consist of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owner's statement of certification form: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is signed by the development owner and notarized;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which the development owner certifies the accuracy of the information included in the documentation packet;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owner's summary form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taxpayer identification number of the development owner;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on the ownership structure of the development owner, the developer, or the development guarantor;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development cost schedule for the development;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independent auditor's report of the total development cost and eligible basis of the development through which the auditor certifies that the audit was conducted according to generally accepted auditing standards and included: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examination of evidence supporting the amounts and disclosures outlined in the cost certification;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assessment of the accounting principles used and significant estimates made by the development owner;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overall cost certification evaluation and establishment of the total eligible basis;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independent auditor's report of bond financing through which the auditor certifies the percentage of the development's aggregate basis financed by tax-exempt bonds;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complete copy of the executed carryover allocation agreement issued to the development owner by the department;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a development that was awarded points for demonstrating nonprofit participation under the sponsor characteristics of the application, documentation evidencing the nonprofit participation;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placement in service form that contains summarized information for the development on a building-by-building basis;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architect certification or substantial completion form and permission to occupy form: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are completed and signed by the development architect;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which the development architect certifies, for purposes of calculating the development's placed in service date, the date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completion of the development's buildings;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issuance of the certificate of occupancy for the development;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complete copy of the executed and recorded land use restriction agreement for the development;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projected operating pro forma to include a rent schedule and annual operating expenses;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summary of the sources and uses of funds for the development.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form and contents of the documentation required under Subsections (c)(1), (2), (3), (4), (5), (8), and (9) must be the same as those prescribed by the department for the application cycle that is based on the 2022 qualified allocation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department determines that a development owner intentionally provided incorrect or inconsistent information in a documentation packet submitted to the department under this section, the department may assess an administrative penalty against the owner in accordance with Subchapter B.  In assessing an administrative penalty under this subsection, 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impose a monetary penalty;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owner or any person that has an ownership interest in the development, except for a tax credit purchaser or syndicator, from participating in the low income housing tax credit program for a period of not more than two years.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shall quarterly prepare and submit to the legislature a written report that includes the following information for the preceding quarter: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submitted documentation packets that the department is in the course of processing;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Forms 8609 that the department issued, aggregated by the total number issued: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the 120th day after the date a documentation packet was submitted;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or after the 121st day but before the 151st day after the date a documentation packet was submitted;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 or after the 151st day but before the 181st day after the date a documentation packet was submitted;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 or after the 181st day after the date a documentation packet was submitted;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detailed statement of the reasons for the department's delay in issuing Form 8609 in the time required by Subsection (b), including complete copies of any requests for information;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average time the department required for issuing Form 8609;</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total number of rejected applications for Form 8609;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detailed statement of the reason for the department's rejection of each application.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shall adopt rules to implement this section, including rules specifying the manner, deadline, and fees for submitting a documentation packet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application for low income housing tax credits that is submitted to the Texas Department of Housing and Community Affairs during an application cycle that is based on the 2023 qualified allocation plan or a subsequent plan adopted by the governing board of the department under Section 2306.67022, Government Code.  An application that is submitted during an application cycle that is based on an earlier qualified allocation plan is governed by the law in effect on the date the application cycle began,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