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Lujan,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Campbell)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1,</w:t>
      </w:r>
      <w:r xml:space="preserve">
        <w:t> </w:t>
      </w:r>
      <w:r>
        <w:t xml:space="preserve">2023; May</w:t>
      </w:r>
      <w:r xml:space="preserve">
        <w:t> </w:t>
      </w:r>
      <w:r>
        <w:t xml:space="preserve">2,</w:t>
      </w:r>
      <w:r xml:space="preserve">
        <w:t> </w:t>
      </w:r>
      <w:r>
        <w:t xml:space="preserve">2023, read first time and referred to Committee on Health &amp; Human Services;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October as Fentanyl Poisoning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MONTH.  (a) </w:t>
      </w:r>
      <w:r>
        <w:rPr>
          <w:u w:val="single"/>
        </w:rPr>
        <w:t xml:space="preserve"> </w:t>
      </w:r>
      <w:r>
        <w:rPr>
          <w:u w:val="single"/>
        </w:rPr>
        <w:t xml:space="preserve">October is Fentanyl Poisoning Awareness Month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 may be regularly observed through appropriate activities in communities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