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88R13953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county and municipal building codes for the insulation and protection of piping in new residential construction.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PIPE INSULATION.  (a)  In accordance with Subchapter G, Chapter 214, a municipality shall adopt the building code regulations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to which Subchapter F, Chapter 233, applies shall in accordance with that subchapter adopt the building code regulations described by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code regulation adopted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to new residential construction beginning on or after January 1, 2024;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pipe to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insulated to an R-value of not less than 3 if the pipe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associated with a mechanical system;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designed to carry a fluid at a temperature of not less than 55 degrees Fahrenheit and not more than 105 degrees Fahrenheit;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protected from sunlight, moisture, and wind with appropriate shielding materials not including adhesive tape if the pipe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described by Paragraph (A);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exposed to outside weather conditions.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requirements under Subsection (c), the regulations must require a pipe associated with service hot water to be insulated to an R-value of not less than 3 if the pipe: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three-fourths inch or greater in diameter;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leads to a kitchen outlet, a distribution manifold, or multiple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a municipality or county to which this Act applies shall take the necessary actions to implement Section 250.014, Local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