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88R9334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3164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diversity, equity, and inclusion offices and employees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51.9317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51.9317.</w:t>
      </w:r>
      <w:r>
        <w:rPr>
          <w:u w:val="single"/>
        </w:rPr>
        <w:t xml:space="preserve"> </w:t>
      </w:r>
      <w:r>
        <w:rPr>
          <w:u w:val="single"/>
        </w:rPr>
        <w:t xml:space="preserve"> </w:t>
      </w:r>
      <w:r>
        <w:rPr>
          <w:u w:val="single"/>
        </w:rPr>
        <w:t xml:space="preserve">DIVERSITY, EQUITY, AND INCLUSION OFFICES AND EMPLOYEES PROHIBITED.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"Diversity, equity, and inclusion office" means an office, center, department, division, or other unit of an institution of higher education established for the purpose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influencing the composition of the faculty or student body of the institution with respect to race, sex, color, or ethnicity, other than through the use of color-blind and sex-neutral admissions and hiring processes in accordance with any applicable state and federal antidiscrimination laws;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promoting differential treatment of or providing special benefits to individuals on the basis of race, color, or ethnicity;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promoting policies or procedures designed or implemented in reference to race, color, or ethnicity;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conducting trainings, programs, or activities designed or implemented in reference to race, color, ethnicity, gender identity, or sexual orientation;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promoting a particular, widely contested opinion regarding unconscious or implicit bias, cultural appropriation, allyship, transgender ideology, microaggressions, group marginalization, antiracism, systemic oppression, social justice, intersectionality, neo-pronouns, heteronormativity, disparate impact, gender theory, racial or sexual privilege, or other closely related concepts.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establish or maintain a diversity, equity, and inclusion office or hire or assign an employee of the institution, or contract with a third party, to perform the duties of a diversity, equity, and inclusion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education's academic course instruction or research;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activities of student organizations registered with or recognized by an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guest speakers or performers who may be invited to speak or perform at an institution of higher education;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physical or mental health services an institution of higher education may provide to students, faculty, or staff;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an institution of higher education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establishing or maintaining a legal office or other unit, hiring or assigning an employee who is an attorney, or contracting with a third-party attorney or law firm to ensure the institution's compliance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Title IX of the Education Amendments of 1972 (20 U.S.C. Section 1681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Americans with Disabilities Act of 1990 (42 U.S.C. Section 12101 et seq.);</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Age Discrimination in Employment Act of 1967 (29 U.S.C. Section 621 et seq.);</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Title VI of the Civil Rights Act of 1964 (42 U.S.C. Section 2000d et seq.);</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any applicable court order;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other applicable state or federal law;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establishing or maintaining: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academic department or other unit whose primary purpose is to offer courses for credit toward a degree or certificate program and that does not establish policy or procedures for other departments or units;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office or other unit whose sole duty is the recruitment of prospective students.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as prohibiting bona fide qualifications based on sex that are reasonably necessary to the normal operation of an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institution of higher education fails to comply with this section, the attorney general may file suit for a writ of mandamus compelling the institution to comply with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student or faculty member of an institution of higher education who is adversely affected by the institution's violation of this section may bring an action against the institution for injunctive relief, court costs, and reasonable attorney's fees.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addition to the venue provided under Section 15.002(a), Civil Practice and Remedies Code, an action under Subsection (f) may be brought in a county contiguous to the county in which all or a substantial part of the events or omissions giving rise to the claim occurred.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Sovereign or governmental immunity of an institution of higher education to suit is waived and abolished to the extent of liability created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51.9317, Education Code, as added by this Act, applies beginning with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