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88R10427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personal property from garnishment, attachment, execution, or other seizure.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personal property is exempt under Section 42.001(a):</w:t>
      </w:r>
    </w:p>
    <w:p w:rsidR="003F3435" w:rsidRDefault="0032493E">
      <w:pPr>
        <w:spacing w:line="480" w:lineRule="auto"/>
        <w:ind w:firstLine="1440"/>
        <w:jc w:val="both"/>
      </w:pPr>
      <w:r>
        <w:t xml:space="preserve">(1)</w:t>
      </w:r>
      <w:r xml:space="preserve">
        <w:t> </w:t>
      </w:r>
      <w:r xml:space="preserve">
        <w:t> </w:t>
      </w:r>
      <w:r>
        <w:t xml:space="preserve">home furnishings, including family heirlooms;</w:t>
      </w:r>
    </w:p>
    <w:p w:rsidR="003F3435" w:rsidRDefault="0032493E">
      <w:pPr>
        <w:spacing w:line="480" w:lineRule="auto"/>
        <w:ind w:firstLine="1440"/>
        <w:jc w:val="both"/>
      </w:pPr>
      <w:r>
        <w:t xml:space="preserve">(2)</w:t>
      </w:r>
      <w:r xml:space="preserve">
        <w:t> </w:t>
      </w:r>
      <w:r xml:space="preserve">
        <w:t> </w:t>
      </w:r>
      <w:r>
        <w:t xml:space="preserve">provisions for consumption;</w:t>
      </w:r>
    </w:p>
    <w:p w:rsidR="003F3435" w:rsidRDefault="0032493E">
      <w:pPr>
        <w:spacing w:line="480" w:lineRule="auto"/>
        <w:ind w:firstLine="1440"/>
        <w:jc w:val="both"/>
      </w:pPr>
      <w:r>
        <w:t xml:space="preserve">(3)</w:t>
      </w:r>
      <w:r xml:space="preserve">
        <w:t> </w:t>
      </w:r>
      <w:r xml:space="preserve">
        <w:t> </w:t>
      </w:r>
      <w:r>
        <w:t xml:space="preserve">farming or ranching vehicles and implements;</w:t>
      </w:r>
    </w:p>
    <w:p w:rsidR="003F3435" w:rsidRDefault="0032493E">
      <w:pPr>
        <w:spacing w:line="480" w:lineRule="auto"/>
        <w:ind w:firstLine="1440"/>
        <w:jc w:val="both"/>
      </w:pPr>
      <w:r>
        <w:t xml:space="preserve">(4)</w:t>
      </w:r>
      <w:r xml:space="preserve">
        <w:t> </w:t>
      </w:r>
      <w:r xml:space="preserve">
        <w:t> </w:t>
      </w:r>
      <w:r>
        <w:t xml:space="preserve">tools, equipment, books, and apparatus, including boats and motor vehicles used </w:t>
      </w:r>
      <w:r>
        <w:rPr>
          <w:u w:val="single"/>
        </w:rPr>
        <w:t xml:space="preserve">by a member of a family or single adult in that person's</w:t>
      </w:r>
      <w:r>
        <w:t xml:space="preserve"> [</w:t>
      </w:r>
      <w:r>
        <w:rPr>
          <w:strike/>
        </w:rPr>
        <w:t xml:space="preserve">in a</w:t>
      </w:r>
      <w:r>
        <w:t xml:space="preserve">] trade or profession;</w:t>
      </w:r>
    </w:p>
    <w:p w:rsidR="003F3435" w:rsidRDefault="0032493E">
      <w:pPr>
        <w:spacing w:line="480" w:lineRule="auto"/>
        <w:ind w:firstLine="1440"/>
        <w:jc w:val="both"/>
      </w:pPr>
      <w:r>
        <w:t xml:space="preserve">(5)</w:t>
      </w:r>
      <w:r xml:space="preserve">
        <w:t> </w:t>
      </w:r>
      <w:r xml:space="preserve">
        <w:t> </w:t>
      </w:r>
      <w:r>
        <w:t xml:space="preserve">wearing apparel;</w:t>
      </w:r>
    </w:p>
    <w:p w:rsidR="003F3435" w:rsidRDefault="0032493E">
      <w:pPr>
        <w:spacing w:line="480" w:lineRule="auto"/>
        <w:ind w:firstLine="1440"/>
        <w:jc w:val="both"/>
      </w:pPr>
      <w:r>
        <w:t xml:space="preserve">(6)</w:t>
      </w:r>
      <w:r xml:space="preserve">
        <w:t> </w:t>
      </w:r>
      <w:r xml:space="preserve">
        <w:t> </w:t>
      </w:r>
      <w:r>
        <w:t xml:space="preserve">jewelry not to exceed 25 percent of the aggregate limitations prescribed by Section 42.001(a);</w:t>
      </w:r>
    </w:p>
    <w:p w:rsidR="003F3435" w:rsidRDefault="0032493E">
      <w:pPr>
        <w:spacing w:line="480" w:lineRule="auto"/>
        <w:ind w:firstLine="1440"/>
        <w:jc w:val="both"/>
      </w:pPr>
      <w:r>
        <w:t xml:space="preserve">(7)</w:t>
      </w:r>
      <w:r xml:space="preserve">
        <w:t> </w:t>
      </w:r>
      <w:r xml:space="preserve">
        <w:t> </w:t>
      </w:r>
      <w:r>
        <w:t xml:space="preserve">two firearms;</w:t>
      </w:r>
    </w:p>
    <w:p w:rsidR="003F3435" w:rsidRDefault="0032493E">
      <w:pPr>
        <w:spacing w:line="480" w:lineRule="auto"/>
        <w:ind w:firstLine="1440"/>
        <w:jc w:val="both"/>
      </w:pPr>
      <w:r>
        <w:t xml:space="preserve">(8)</w:t>
      </w:r>
      <w:r xml:space="preserve">
        <w:t> </w:t>
      </w:r>
      <w:r xml:space="preserve">
        <w:t> </w:t>
      </w:r>
      <w:r>
        <w:t xml:space="preserve">athletic and sporting equipment, including bicycles;</w:t>
      </w:r>
    </w:p>
    <w:p w:rsidR="003F3435" w:rsidRDefault="0032493E">
      <w:pPr>
        <w:spacing w:line="480" w:lineRule="auto"/>
        <w:ind w:firstLine="1440"/>
        <w:jc w:val="both"/>
      </w:pPr>
      <w:r>
        <w:t xml:space="preserve">(9)</w:t>
      </w:r>
      <w:r xml:space="preserve">
        <w:t> </w:t>
      </w:r>
      <w:r xml:space="preserve">
        <w:t> </w:t>
      </w:r>
      <w:r>
        <w:t xml:space="preserve">a two-wheeled, three-wheeled, or four-wheeled motor vehicle for each member of a family or single adult who holds a driver's license or who does not hold a driver's license but who relies on another person to operate the vehicle for the benefit of the nonlicensed person</w:t>
      </w:r>
      <w:r>
        <w:rPr>
          <w:u w:val="single"/>
        </w:rPr>
        <w:t xml:space="preserv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be legally operated on a public highway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registered as required by Section 502.040, Transportation Code;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an autocycle as defined by Section 502.005, Transportation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responsibility is established for the vehicle as required by Section 601.051, Transportation Code</w:t>
      </w:r>
      <w:r>
        <w:t xml:space="preserve">;</w:t>
      </w:r>
    </w:p>
    <w:p w:rsidR="003F3435" w:rsidRDefault="0032493E">
      <w:pPr>
        <w:spacing w:line="480" w:lineRule="auto"/>
        <w:ind w:firstLine="1440"/>
        <w:jc w:val="both"/>
      </w:pPr>
      <w:r>
        <w:t xml:space="preserve">(10)</w:t>
      </w:r>
      <w:r xml:space="preserve">
        <w:t> </w:t>
      </w:r>
      <w:r xml:space="preserve">
        <w:t> </w:t>
      </w:r>
      <w:r>
        <w:t xml:space="preserve">the following animals and forage on hand for their consumption:</w:t>
      </w:r>
    </w:p>
    <w:p w:rsidR="003F3435" w:rsidRDefault="0032493E">
      <w:pPr>
        <w:spacing w:line="480" w:lineRule="auto"/>
        <w:ind w:firstLine="2160"/>
        <w:jc w:val="both"/>
      </w:pPr>
      <w:r>
        <w:t xml:space="preserve">(A)</w:t>
      </w:r>
      <w:r xml:space="preserve">
        <w:t> </w:t>
      </w:r>
      <w:r xml:space="preserve">
        <w:t> </w:t>
      </w:r>
      <w:r>
        <w:t xml:space="preserve">two horses, mules, or donkeys and a saddle, blanket, and bridle for each;</w:t>
      </w:r>
    </w:p>
    <w:p w:rsidR="003F3435" w:rsidRDefault="0032493E">
      <w:pPr>
        <w:spacing w:line="480" w:lineRule="auto"/>
        <w:ind w:firstLine="2160"/>
        <w:jc w:val="both"/>
      </w:pPr>
      <w:r>
        <w:t xml:space="preserve">(B)</w:t>
      </w:r>
      <w:r xml:space="preserve">
        <w:t> </w:t>
      </w:r>
      <w:r xml:space="preserve">
        <w:t> </w:t>
      </w:r>
      <w:r>
        <w:t xml:space="preserve">12 head of cattle;</w:t>
      </w:r>
    </w:p>
    <w:p w:rsidR="003F3435" w:rsidRDefault="0032493E">
      <w:pPr>
        <w:spacing w:line="480" w:lineRule="auto"/>
        <w:ind w:firstLine="2160"/>
        <w:jc w:val="both"/>
      </w:pPr>
      <w:r>
        <w:t xml:space="preserve">(C)</w:t>
      </w:r>
      <w:r xml:space="preserve">
        <w:t> </w:t>
      </w:r>
      <w:r xml:space="preserve">
        <w:t> </w:t>
      </w:r>
      <w:r>
        <w:t xml:space="preserve">60 head of other types of livestock; and</w:t>
      </w:r>
    </w:p>
    <w:p w:rsidR="003F3435" w:rsidRDefault="0032493E">
      <w:pPr>
        <w:spacing w:line="480" w:lineRule="auto"/>
        <w:ind w:firstLine="2160"/>
        <w:jc w:val="both"/>
      </w:pPr>
      <w:r>
        <w:t xml:space="preserve">(D)</w:t>
      </w:r>
      <w:r xml:space="preserve">
        <w:t> </w:t>
      </w:r>
      <w:r xml:space="preserve">
        <w:t> </w:t>
      </w:r>
      <w:r>
        <w:t xml:space="preserve">120 fowl; and</w:t>
      </w:r>
    </w:p>
    <w:p w:rsidR="003F3435" w:rsidRDefault="0032493E">
      <w:pPr>
        <w:spacing w:line="480" w:lineRule="auto"/>
        <w:ind w:firstLine="1440"/>
        <w:jc w:val="both"/>
      </w:pPr>
      <w:r>
        <w:t xml:space="preserve">(11)</w:t>
      </w:r>
      <w:r xml:space="preserve">
        <w:t> </w:t>
      </w:r>
      <w:r xml:space="preserve">
        <w:t> </w:t>
      </w:r>
      <w:r>
        <w:t xml:space="preserve">household pets.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That property is subject to the law as it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